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1615"/>
        <w:gridCol w:w="7290"/>
        <w:gridCol w:w="1890"/>
      </w:tblGrid>
      <w:tr w:rsidR="007428FF" w14:paraId="353B25B3" w14:textId="0DD8A5C9" w:rsidTr="006102BB">
        <w:tc>
          <w:tcPr>
            <w:tcW w:w="1615" w:type="dxa"/>
            <w:shd w:val="clear" w:color="auto" w:fill="F2F2F2" w:themeFill="background1" w:themeFillShade="F2"/>
          </w:tcPr>
          <w:p w14:paraId="6032C85E" w14:textId="3AF675E6" w:rsidR="007428FF" w:rsidRDefault="007428FF">
            <w:r>
              <w:t>7:30 – 8:30</w:t>
            </w:r>
          </w:p>
        </w:tc>
        <w:tc>
          <w:tcPr>
            <w:tcW w:w="7290" w:type="dxa"/>
            <w:shd w:val="clear" w:color="auto" w:fill="F2F2F2" w:themeFill="background1" w:themeFillShade="F2"/>
          </w:tcPr>
          <w:p w14:paraId="173DB450" w14:textId="50FAA262" w:rsidR="007428FF" w:rsidRDefault="007428FF">
            <w:r>
              <w:t xml:space="preserve">Registration and Continental Breakfast </w:t>
            </w:r>
          </w:p>
        </w:tc>
        <w:tc>
          <w:tcPr>
            <w:tcW w:w="1890" w:type="dxa"/>
            <w:shd w:val="clear" w:color="auto" w:fill="F2F2F2" w:themeFill="background1" w:themeFillShade="F2"/>
          </w:tcPr>
          <w:p w14:paraId="4B5CBE40" w14:textId="1CEF9F27" w:rsidR="007428FF" w:rsidRPr="007428FF" w:rsidRDefault="007428FF">
            <w:pPr>
              <w:rPr>
                <w:sz w:val="18"/>
                <w:szCs w:val="18"/>
              </w:rPr>
            </w:pPr>
            <w:r w:rsidRPr="007428FF">
              <w:rPr>
                <w:i/>
                <w:iCs/>
                <w:sz w:val="20"/>
                <w:szCs w:val="20"/>
              </w:rPr>
              <w:t xml:space="preserve">Lobby / </w:t>
            </w:r>
            <w:proofErr w:type="spellStart"/>
            <w:r w:rsidRPr="007428FF">
              <w:rPr>
                <w:i/>
                <w:iCs/>
                <w:sz w:val="20"/>
                <w:szCs w:val="20"/>
              </w:rPr>
              <w:t>Prefunction</w:t>
            </w:r>
            <w:proofErr w:type="spellEnd"/>
            <w:r w:rsidRPr="007428FF">
              <w:rPr>
                <w:i/>
                <w:iCs/>
                <w:sz w:val="20"/>
                <w:szCs w:val="20"/>
              </w:rPr>
              <w:t xml:space="preserve"> space</w:t>
            </w:r>
          </w:p>
        </w:tc>
      </w:tr>
      <w:tr w:rsidR="007428FF" w14:paraId="616230BA" w14:textId="3FFB79DD" w:rsidTr="006102BB">
        <w:tc>
          <w:tcPr>
            <w:tcW w:w="1615" w:type="dxa"/>
          </w:tcPr>
          <w:p w14:paraId="39220631" w14:textId="4C221F85" w:rsidR="007428FF" w:rsidRDefault="007428FF">
            <w:r>
              <w:t xml:space="preserve">8:30 – 9:30  </w:t>
            </w:r>
          </w:p>
        </w:tc>
        <w:tc>
          <w:tcPr>
            <w:tcW w:w="7290" w:type="dxa"/>
          </w:tcPr>
          <w:p w14:paraId="24E5F3AD" w14:textId="08D760B5" w:rsidR="007428FF" w:rsidRDefault="007428FF">
            <w:r w:rsidRPr="007428FF">
              <w:rPr>
                <w:b/>
                <w:bCs/>
              </w:rPr>
              <w:t>Planning and AI – Ethical Implications</w:t>
            </w:r>
            <w:r>
              <w:t xml:space="preserve"> [Ethics] </w:t>
            </w:r>
          </w:p>
          <w:p w14:paraId="771A6B29" w14:textId="25F5AFF5" w:rsidR="007428FF" w:rsidRPr="007428FF" w:rsidRDefault="007428FF">
            <w:pPr>
              <w:rPr>
                <w:i/>
                <w:iCs/>
              </w:rPr>
            </w:pPr>
            <w:r>
              <w:t xml:space="preserve">  </w:t>
            </w:r>
            <w:r w:rsidRPr="007428FF">
              <w:rPr>
                <w:i/>
                <w:iCs/>
              </w:rPr>
              <w:t>Todd Kinskey</w:t>
            </w:r>
            <w:r w:rsidR="00E9131E">
              <w:rPr>
                <w:i/>
                <w:iCs/>
              </w:rPr>
              <w:t>, FAICP</w:t>
            </w:r>
            <w:r w:rsidRPr="007428FF">
              <w:rPr>
                <w:i/>
                <w:iCs/>
              </w:rPr>
              <w:t xml:space="preserve"> and Greg Dale</w:t>
            </w:r>
            <w:r w:rsidR="00E9131E">
              <w:rPr>
                <w:i/>
                <w:iCs/>
              </w:rPr>
              <w:t>, FAICP</w:t>
            </w:r>
          </w:p>
          <w:p w14:paraId="207139BA" w14:textId="360D6EF1" w:rsidR="007428FF" w:rsidRPr="00AD1AD1" w:rsidRDefault="00AD1AD1" w:rsidP="00AD1AD1">
            <w:pPr>
              <w:ind w:left="166"/>
              <w:rPr>
                <w:sz w:val="20"/>
                <w:szCs w:val="20"/>
              </w:rPr>
            </w:pPr>
            <w:r w:rsidRPr="00AD1AD1">
              <w:rPr>
                <w:sz w:val="20"/>
                <w:szCs w:val="20"/>
              </w:rPr>
              <w:t>This session will be an interactive dialogue about the AICP Code of Ethics and how these principles apply to use of artificial intelligence. We will explore how planners are using AI and discuss potential ethical implications.</w:t>
            </w:r>
          </w:p>
          <w:p w14:paraId="0A3D5068" w14:textId="77777777" w:rsidR="00AD1AD1" w:rsidRDefault="00AD1AD1"/>
          <w:p w14:paraId="741638E6" w14:textId="77777777" w:rsidR="007428FF" w:rsidRPr="007428FF" w:rsidRDefault="007428FF">
            <w:pPr>
              <w:rPr>
                <w:b/>
                <w:bCs/>
              </w:rPr>
            </w:pPr>
            <w:r w:rsidRPr="007428FF">
              <w:rPr>
                <w:b/>
                <w:bCs/>
              </w:rPr>
              <w:t>Planning to Age Well: Using Asset-Based Community Development to Build the Kenton County Aging Readiness Plan</w:t>
            </w:r>
          </w:p>
          <w:p w14:paraId="4275416F" w14:textId="029A2ABF" w:rsidR="007428FF" w:rsidRPr="007428FF" w:rsidRDefault="007428FF">
            <w:pPr>
              <w:rPr>
                <w:i/>
                <w:iCs/>
              </w:rPr>
            </w:pPr>
            <w:r>
              <w:t xml:space="preserve">  </w:t>
            </w:r>
            <w:r w:rsidR="000F284E">
              <w:t xml:space="preserve"> </w:t>
            </w:r>
            <w:r w:rsidRPr="007428FF">
              <w:rPr>
                <w:i/>
                <w:iCs/>
              </w:rPr>
              <w:t>Andy Videkovich and Laura D. Allen</w:t>
            </w:r>
            <w:r w:rsidR="00506271">
              <w:rPr>
                <w:i/>
                <w:iCs/>
              </w:rPr>
              <w:t xml:space="preserve">, </w:t>
            </w:r>
            <w:proofErr w:type="spellStart"/>
            <w:proofErr w:type="gramStart"/>
            <w:r w:rsidR="00506271">
              <w:rPr>
                <w:i/>
                <w:iCs/>
              </w:rPr>
              <w:t>Ph.D</w:t>
            </w:r>
            <w:proofErr w:type="spellEnd"/>
            <w:proofErr w:type="gramEnd"/>
          </w:p>
          <w:p w14:paraId="10B76F08" w14:textId="771A6663" w:rsidR="007428FF" w:rsidRPr="000F284E" w:rsidRDefault="000F284E" w:rsidP="000F284E">
            <w:pPr>
              <w:ind w:left="166"/>
              <w:rPr>
                <w:sz w:val="20"/>
                <w:szCs w:val="20"/>
              </w:rPr>
            </w:pPr>
            <w:r w:rsidRPr="000F284E">
              <w:rPr>
                <w:sz w:val="20"/>
                <w:szCs w:val="20"/>
              </w:rPr>
              <w:t>This session highlights the Kenton County Age Well Initiative, a one-year, asset-based community development process that informed a five-year, multisector Aging Readiness Plan. Rather than relying solely on needs-based data, the Initiative centered resident voices, existing community strengths, and cross-sector assets to guide long-range planning across housing, transportation, community life, and long-term care. Attendees will gain practical insight into how asset-based engagement can be adapted for county-wide planning efforts addressing population aging, housing affordability, and infrastructure readiness.</w:t>
            </w:r>
          </w:p>
          <w:p w14:paraId="4975B378" w14:textId="77777777" w:rsidR="000F284E" w:rsidRDefault="000F284E"/>
          <w:p w14:paraId="0427C980" w14:textId="77777777" w:rsidR="007428FF" w:rsidRPr="007428FF" w:rsidRDefault="007428FF">
            <w:pPr>
              <w:rPr>
                <w:b/>
                <w:bCs/>
              </w:rPr>
            </w:pPr>
            <w:r w:rsidRPr="007428FF">
              <w:rPr>
                <w:b/>
                <w:bCs/>
              </w:rPr>
              <w:t>Story-Powered: Tailored Presentations that Drive Project Success and Defuse Angry Audiences</w:t>
            </w:r>
          </w:p>
          <w:p w14:paraId="159C2590" w14:textId="3E768D76" w:rsidR="007428FF" w:rsidRDefault="007428FF">
            <w:pPr>
              <w:rPr>
                <w:i/>
                <w:iCs/>
              </w:rPr>
            </w:pPr>
            <w:r>
              <w:t xml:space="preserve">  </w:t>
            </w:r>
            <w:r w:rsidR="00FE7860">
              <w:t xml:space="preserve"> </w:t>
            </w:r>
            <w:r w:rsidRPr="007428FF">
              <w:rPr>
                <w:i/>
                <w:iCs/>
              </w:rPr>
              <w:t>Krysti Barnhill</w:t>
            </w:r>
            <w:r w:rsidR="00506271">
              <w:rPr>
                <w:i/>
                <w:iCs/>
              </w:rPr>
              <w:t>, APR</w:t>
            </w:r>
            <w:r w:rsidRPr="007428FF">
              <w:rPr>
                <w:i/>
                <w:iCs/>
              </w:rPr>
              <w:t xml:space="preserve"> and Marie Silver Keister</w:t>
            </w:r>
            <w:r w:rsidR="00506271">
              <w:rPr>
                <w:i/>
                <w:iCs/>
              </w:rPr>
              <w:t>, APR, AICP</w:t>
            </w:r>
          </w:p>
          <w:p w14:paraId="65CB3DCC" w14:textId="672C43AE" w:rsidR="007428FF" w:rsidRPr="00FE7860" w:rsidRDefault="00FE7860" w:rsidP="00FE7860">
            <w:pPr>
              <w:ind w:left="166"/>
              <w:rPr>
                <w:sz w:val="20"/>
                <w:szCs w:val="20"/>
              </w:rPr>
            </w:pPr>
            <w:r w:rsidRPr="00FE7860">
              <w:rPr>
                <w:sz w:val="20"/>
                <w:szCs w:val="20"/>
              </w:rPr>
              <w:t xml:space="preserve">Stop simply presenting data; start engaging your audience and managing expectations and objections. This session focuses on how engineers, government officials, and planners can use storytelling as a powerful tool to convey their message and proactively defuse conflict. Learn to analyze your audience, anticipate their key questions and potential </w:t>
            </w:r>
            <w:proofErr w:type="gramStart"/>
            <w:r w:rsidRPr="00FE7860">
              <w:rPr>
                <w:sz w:val="20"/>
                <w:szCs w:val="20"/>
              </w:rPr>
              <w:t>pushback</w:t>
            </w:r>
            <w:proofErr w:type="gramEnd"/>
            <w:r w:rsidRPr="00FE7860">
              <w:rPr>
                <w:sz w:val="20"/>
                <w:szCs w:val="20"/>
              </w:rPr>
              <w:t>, and then craft narratives that thoughtfully address these points within your core message. The result? More persuasive presentations, fewer surprises, and a clearer path to stakeholder agreement and project success.</w:t>
            </w:r>
          </w:p>
          <w:p w14:paraId="0EB894B4" w14:textId="77777777" w:rsidR="00FE7860" w:rsidRPr="00FE7860" w:rsidRDefault="00FE7860"/>
          <w:p w14:paraId="46EA30FD" w14:textId="77777777" w:rsidR="007428FF" w:rsidRPr="00E9131E" w:rsidRDefault="007428FF">
            <w:pPr>
              <w:rPr>
                <w:b/>
                <w:bCs/>
              </w:rPr>
            </w:pPr>
            <w:r w:rsidRPr="00E9131E">
              <w:rPr>
                <w:b/>
                <w:bCs/>
              </w:rPr>
              <w:t>Fast, Flexible, and Visual — GIS-Centered Workflows for Planning Deliverables</w:t>
            </w:r>
          </w:p>
          <w:p w14:paraId="1D78EA1C" w14:textId="3A40170E" w:rsidR="007428FF" w:rsidRDefault="007428FF">
            <w:pPr>
              <w:rPr>
                <w:i/>
                <w:iCs/>
              </w:rPr>
            </w:pPr>
            <w:r>
              <w:t xml:space="preserve">  </w:t>
            </w:r>
            <w:r w:rsidR="006F0763">
              <w:t xml:space="preserve"> </w:t>
            </w:r>
            <w:r w:rsidRPr="007428FF">
              <w:rPr>
                <w:i/>
                <w:iCs/>
              </w:rPr>
              <w:t>Abby Stainfield</w:t>
            </w:r>
            <w:r w:rsidR="00506271">
              <w:rPr>
                <w:i/>
                <w:iCs/>
              </w:rPr>
              <w:t>, AICP</w:t>
            </w:r>
          </w:p>
          <w:p w14:paraId="6954482F" w14:textId="3244A82C" w:rsidR="00E9131E" w:rsidRPr="00E9131E" w:rsidRDefault="006F0763" w:rsidP="006F0763">
            <w:pPr>
              <w:ind w:left="166"/>
            </w:pPr>
            <w:r w:rsidRPr="006F0763">
              <w:rPr>
                <w:sz w:val="20"/>
                <w:szCs w:val="20"/>
              </w:rPr>
              <w:t>Planners are increasingly asked to produce diverse deliverables—maps, dashboards, graphics, and engagement tools—often on tight timelines. This session demonstrates how GIS can serve as the backbone of an efficient workflow, integrating with ArcGIS Online, Adobe Creative Suite, and AutoCAD to move data and analysis smoothly between platforms. Attendees will learn practical strategies to streamline workflows, reduce rework, and adapt outputs for different audiences while maintaining data integrity and visual consistency.</w:t>
            </w:r>
          </w:p>
        </w:tc>
        <w:tc>
          <w:tcPr>
            <w:tcW w:w="1890" w:type="dxa"/>
          </w:tcPr>
          <w:p w14:paraId="774AF2A1" w14:textId="77777777" w:rsidR="007428FF" w:rsidRDefault="007428FF" w:rsidP="007428FF">
            <w:r>
              <w:t>Joseph Strauss Room</w:t>
            </w:r>
          </w:p>
          <w:p w14:paraId="5E2E0BCC" w14:textId="77777777" w:rsidR="007428FF" w:rsidRDefault="007428FF" w:rsidP="007428FF"/>
          <w:p w14:paraId="317B7380" w14:textId="77777777" w:rsidR="00FE7860" w:rsidRDefault="00FE7860" w:rsidP="007428FF"/>
          <w:p w14:paraId="7DE9FA81" w14:textId="77777777" w:rsidR="00FE7860" w:rsidRDefault="00FE7860" w:rsidP="007428FF"/>
          <w:p w14:paraId="61211B07" w14:textId="77777777" w:rsidR="00FE7860" w:rsidRDefault="00FE7860" w:rsidP="007428FF"/>
          <w:p w14:paraId="12C54AF1" w14:textId="143C1C94" w:rsidR="007428FF" w:rsidRDefault="007428FF" w:rsidP="007428FF">
            <w:r>
              <w:t>WKRP Room</w:t>
            </w:r>
          </w:p>
          <w:p w14:paraId="6543DFD7" w14:textId="77777777" w:rsidR="007428FF" w:rsidRDefault="007428FF">
            <w:pPr>
              <w:rPr>
                <w:b/>
                <w:bCs/>
              </w:rPr>
            </w:pPr>
          </w:p>
          <w:p w14:paraId="2BF4A337" w14:textId="77777777" w:rsidR="007428FF" w:rsidRDefault="007428FF">
            <w:pPr>
              <w:rPr>
                <w:b/>
                <w:bCs/>
              </w:rPr>
            </w:pPr>
          </w:p>
          <w:p w14:paraId="4C40C747" w14:textId="77777777" w:rsidR="007428FF" w:rsidRDefault="007428FF">
            <w:pPr>
              <w:rPr>
                <w:b/>
                <w:bCs/>
              </w:rPr>
            </w:pPr>
          </w:p>
          <w:p w14:paraId="596CD46F" w14:textId="77777777" w:rsidR="00FE7860" w:rsidRDefault="00FE7860"/>
          <w:p w14:paraId="12FEDC37" w14:textId="77777777" w:rsidR="00FE7860" w:rsidRDefault="00FE7860"/>
          <w:p w14:paraId="42EFCFB8" w14:textId="77777777" w:rsidR="00FE7860" w:rsidRDefault="00FE7860"/>
          <w:p w14:paraId="06539339" w14:textId="77777777" w:rsidR="00FE7860" w:rsidRDefault="00FE7860"/>
          <w:p w14:paraId="6E7B8C65" w14:textId="77777777" w:rsidR="00FE7860" w:rsidRDefault="00FE7860"/>
          <w:p w14:paraId="07A2ED77" w14:textId="77777777" w:rsidR="00FE7860" w:rsidRDefault="00FE7860"/>
          <w:p w14:paraId="18D026A7" w14:textId="14C5E9B1" w:rsidR="007428FF" w:rsidRDefault="007428FF">
            <w:r w:rsidRPr="007428FF">
              <w:t>Leonard Baehr Room</w:t>
            </w:r>
          </w:p>
          <w:p w14:paraId="2EF41331" w14:textId="77777777" w:rsidR="007428FF" w:rsidRDefault="007428FF"/>
          <w:p w14:paraId="18D3678C" w14:textId="77777777" w:rsidR="00506271" w:rsidRDefault="00506271"/>
          <w:p w14:paraId="1A9074B1" w14:textId="77777777" w:rsidR="00FE7860" w:rsidRDefault="00FE7860"/>
          <w:p w14:paraId="5B73247C" w14:textId="77777777" w:rsidR="00FE7860" w:rsidRDefault="00FE7860"/>
          <w:p w14:paraId="4D0297F4" w14:textId="77777777" w:rsidR="00FE7860" w:rsidRDefault="00FE7860"/>
          <w:p w14:paraId="5AC297D2" w14:textId="77777777" w:rsidR="00FE7860" w:rsidRDefault="00FE7860"/>
          <w:p w14:paraId="25AC04DE" w14:textId="77777777" w:rsidR="00FE7860" w:rsidRDefault="00FE7860"/>
          <w:p w14:paraId="5DE54A4B" w14:textId="77777777" w:rsidR="00FE7860" w:rsidRDefault="00FE7860"/>
          <w:p w14:paraId="7CD20E79" w14:textId="534374D1" w:rsidR="00E9131E" w:rsidRDefault="00E9131E">
            <w:r>
              <w:t>Beast Amphitheatre</w:t>
            </w:r>
          </w:p>
          <w:p w14:paraId="2D7EDA3E" w14:textId="0933FECB" w:rsidR="00E9131E" w:rsidRPr="007428FF" w:rsidRDefault="00E9131E"/>
        </w:tc>
      </w:tr>
      <w:tr w:rsidR="007428FF" w14:paraId="1C8A0D18" w14:textId="768756E2" w:rsidTr="006102BB">
        <w:tc>
          <w:tcPr>
            <w:tcW w:w="1615" w:type="dxa"/>
            <w:shd w:val="clear" w:color="auto" w:fill="F2F2F2" w:themeFill="background1" w:themeFillShade="F2"/>
          </w:tcPr>
          <w:p w14:paraId="0EF440DD" w14:textId="5C9F4904" w:rsidR="007428FF" w:rsidRDefault="00E9131E">
            <w:r>
              <w:t>9:30 – 9:45</w:t>
            </w:r>
          </w:p>
        </w:tc>
        <w:tc>
          <w:tcPr>
            <w:tcW w:w="7290" w:type="dxa"/>
            <w:shd w:val="clear" w:color="auto" w:fill="F2F2F2" w:themeFill="background1" w:themeFillShade="F2"/>
          </w:tcPr>
          <w:p w14:paraId="4B692A56" w14:textId="6F25C07E" w:rsidR="007428FF" w:rsidRDefault="00E9131E">
            <w:r>
              <w:t>Break</w:t>
            </w:r>
          </w:p>
        </w:tc>
        <w:tc>
          <w:tcPr>
            <w:tcW w:w="1890" w:type="dxa"/>
            <w:shd w:val="clear" w:color="auto" w:fill="F2F2F2" w:themeFill="background1" w:themeFillShade="F2"/>
          </w:tcPr>
          <w:p w14:paraId="411D1E8D" w14:textId="77777777" w:rsidR="007428FF" w:rsidRDefault="007428FF"/>
        </w:tc>
      </w:tr>
      <w:tr w:rsidR="007428FF" w14:paraId="573534ED" w14:textId="1529EA35" w:rsidTr="006102BB">
        <w:tc>
          <w:tcPr>
            <w:tcW w:w="1615" w:type="dxa"/>
          </w:tcPr>
          <w:p w14:paraId="7725221D" w14:textId="0C9F2E7E" w:rsidR="007428FF" w:rsidRDefault="00E9131E">
            <w:r>
              <w:t>9:45 – 10:45</w:t>
            </w:r>
          </w:p>
        </w:tc>
        <w:tc>
          <w:tcPr>
            <w:tcW w:w="7290" w:type="dxa"/>
          </w:tcPr>
          <w:p w14:paraId="3D350000" w14:textId="77777777" w:rsidR="007428FF" w:rsidRPr="006102BB" w:rsidRDefault="00E9131E">
            <w:pPr>
              <w:rPr>
                <w:b/>
                <w:bCs/>
              </w:rPr>
            </w:pPr>
            <w:r w:rsidRPr="006102BB">
              <w:rPr>
                <w:b/>
                <w:bCs/>
              </w:rPr>
              <w:t>Planning Commissioners' Training</w:t>
            </w:r>
          </w:p>
          <w:p w14:paraId="1893FD00" w14:textId="47C15A37" w:rsidR="00E9131E" w:rsidRPr="006102BB" w:rsidRDefault="00E9131E">
            <w:pPr>
              <w:rPr>
                <w:i/>
                <w:iCs/>
              </w:rPr>
            </w:pPr>
            <w:r>
              <w:t xml:space="preserve">  </w:t>
            </w:r>
            <w:r w:rsidR="006F0763">
              <w:t xml:space="preserve"> </w:t>
            </w:r>
            <w:r w:rsidRPr="006102BB">
              <w:rPr>
                <w:i/>
                <w:iCs/>
              </w:rPr>
              <w:t>Steve Johns, Chris Schneider</w:t>
            </w:r>
            <w:r w:rsidR="00C23BF5">
              <w:rPr>
                <w:i/>
                <w:iCs/>
              </w:rPr>
              <w:t>, AICP</w:t>
            </w:r>
            <w:r w:rsidRPr="006102BB">
              <w:rPr>
                <w:i/>
                <w:iCs/>
              </w:rPr>
              <w:t>, and Katie Dyson</w:t>
            </w:r>
          </w:p>
          <w:p w14:paraId="25484377" w14:textId="41E4ABE6" w:rsidR="00E9131E" w:rsidRPr="000B273F" w:rsidRDefault="00B71DD3" w:rsidP="000B273F">
            <w:pPr>
              <w:ind w:left="166"/>
              <w:rPr>
                <w:sz w:val="20"/>
                <w:szCs w:val="20"/>
              </w:rPr>
            </w:pPr>
            <w:r w:rsidRPr="000B273F">
              <w:rPr>
                <w:sz w:val="20"/>
                <w:szCs w:val="20"/>
              </w:rPr>
              <w:t xml:space="preserve">This session is tailored to the needs of both new and experienced members of planning commissions and boards of zoning appeals. </w:t>
            </w:r>
            <w:r w:rsidR="000B273F" w:rsidRPr="000B273F">
              <w:rPr>
                <w:sz w:val="20"/>
                <w:szCs w:val="20"/>
              </w:rPr>
              <w:t>This session covers topics such as reading site plans, meeting management, and board ethics through presentations and small-group work.</w:t>
            </w:r>
          </w:p>
          <w:p w14:paraId="3DBF1163" w14:textId="77777777" w:rsidR="00B71DD3" w:rsidRDefault="00B71DD3"/>
          <w:p w14:paraId="61629BB5" w14:textId="1D218C94" w:rsidR="00E9131E" w:rsidRDefault="00E9131E">
            <w:r w:rsidRPr="006102BB">
              <w:rPr>
                <w:b/>
                <w:bCs/>
              </w:rPr>
              <w:t>Addressing Lead in Historically Underserved Neighborhoods</w:t>
            </w:r>
            <w:r>
              <w:t xml:space="preserve"> </w:t>
            </w:r>
            <w:r w:rsidRPr="00E9131E">
              <w:t>[Equity]</w:t>
            </w:r>
          </w:p>
          <w:p w14:paraId="4978067A" w14:textId="5FAEB98F" w:rsidR="00E9131E" w:rsidRPr="006102BB" w:rsidRDefault="00E9131E">
            <w:pPr>
              <w:rPr>
                <w:i/>
                <w:iCs/>
              </w:rPr>
            </w:pPr>
            <w:r>
              <w:t xml:space="preserve">  </w:t>
            </w:r>
            <w:r w:rsidR="006F0763">
              <w:t xml:space="preserve"> </w:t>
            </w:r>
            <w:r w:rsidRPr="006102BB">
              <w:rPr>
                <w:i/>
                <w:iCs/>
              </w:rPr>
              <w:t>Kevin Kappers</w:t>
            </w:r>
            <w:r w:rsidRPr="006102BB">
              <w:rPr>
                <w:i/>
                <w:iCs/>
              </w:rPr>
              <w:t>, PE</w:t>
            </w:r>
            <w:r w:rsidRPr="006102BB">
              <w:rPr>
                <w:i/>
                <w:iCs/>
              </w:rPr>
              <w:t>, Andrea Yang</w:t>
            </w:r>
            <w:r w:rsidRPr="006102BB">
              <w:rPr>
                <w:i/>
                <w:iCs/>
              </w:rPr>
              <w:t>, AICP</w:t>
            </w:r>
            <w:r w:rsidRPr="006102BB">
              <w:rPr>
                <w:i/>
                <w:iCs/>
              </w:rPr>
              <w:t>, and Bridget Patton</w:t>
            </w:r>
          </w:p>
          <w:p w14:paraId="59780DCF" w14:textId="23038AE4" w:rsidR="006102BB" w:rsidRPr="00B71DD3" w:rsidRDefault="00B71DD3" w:rsidP="00B71DD3">
            <w:pPr>
              <w:ind w:left="166"/>
              <w:rPr>
                <w:sz w:val="20"/>
                <w:szCs w:val="20"/>
              </w:rPr>
            </w:pPr>
            <w:r w:rsidRPr="00B71DD3">
              <w:rPr>
                <w:sz w:val="20"/>
                <w:szCs w:val="20"/>
              </w:rPr>
              <w:t xml:space="preserve">This session examines how Greater Cincinnati Water Works uses data-driven prioritization to ensure lead service line replacements reach the city's most vulnerable populations first. Topics will include development of the prioritization </w:t>
            </w:r>
            <w:r w:rsidRPr="00B71DD3">
              <w:rPr>
                <w:sz w:val="20"/>
                <w:szCs w:val="20"/>
              </w:rPr>
              <w:lastRenderedPageBreak/>
              <w:t>scoring system, how it is used today to plan efforts, and additional challenges and planning necessary.</w:t>
            </w:r>
          </w:p>
          <w:p w14:paraId="1955FB62" w14:textId="77777777" w:rsidR="00B71DD3" w:rsidRDefault="00B71DD3"/>
          <w:p w14:paraId="43A8EE83" w14:textId="77777777" w:rsidR="006102BB" w:rsidRPr="006102BB" w:rsidRDefault="006102BB">
            <w:pPr>
              <w:rPr>
                <w:b/>
                <w:bCs/>
              </w:rPr>
            </w:pPr>
            <w:r w:rsidRPr="006102BB">
              <w:rPr>
                <w:b/>
                <w:bCs/>
              </w:rPr>
              <w:t>Thinking Vertically in Planning</w:t>
            </w:r>
          </w:p>
          <w:p w14:paraId="66D7D0FD" w14:textId="4D118B06" w:rsidR="006102BB" w:rsidRPr="006102BB" w:rsidRDefault="006102BB">
            <w:pPr>
              <w:rPr>
                <w:i/>
                <w:iCs/>
              </w:rPr>
            </w:pPr>
            <w:r>
              <w:t xml:space="preserve">  </w:t>
            </w:r>
            <w:r w:rsidR="006F0763">
              <w:t xml:space="preserve"> </w:t>
            </w:r>
            <w:r w:rsidRPr="006102BB">
              <w:rPr>
                <w:i/>
                <w:iCs/>
              </w:rPr>
              <w:t>Daniella Beltran</w:t>
            </w:r>
            <w:r w:rsidR="00506271">
              <w:rPr>
                <w:i/>
                <w:iCs/>
              </w:rPr>
              <w:t>, AICP</w:t>
            </w:r>
            <w:r w:rsidRPr="006102BB">
              <w:rPr>
                <w:i/>
                <w:iCs/>
              </w:rPr>
              <w:t>, Kevin Wright,</w:t>
            </w:r>
            <w:r>
              <w:rPr>
                <w:i/>
                <w:iCs/>
              </w:rPr>
              <w:t xml:space="preserve"> and</w:t>
            </w:r>
            <w:r w:rsidRPr="006102BB">
              <w:rPr>
                <w:i/>
                <w:iCs/>
              </w:rPr>
              <w:t xml:space="preserve"> Taylor Vogt</w:t>
            </w:r>
          </w:p>
          <w:p w14:paraId="4CEA37C1" w14:textId="0194E770" w:rsidR="006102BB" w:rsidRPr="009E346E" w:rsidRDefault="009E346E" w:rsidP="009E346E">
            <w:pPr>
              <w:ind w:left="166"/>
              <w:rPr>
                <w:sz w:val="20"/>
                <w:szCs w:val="20"/>
              </w:rPr>
            </w:pPr>
            <w:r w:rsidRPr="009E346E">
              <w:rPr>
                <w:sz w:val="20"/>
                <w:szCs w:val="20"/>
              </w:rPr>
              <w:t>To help prevent the creation of a community plan that includes broad goals but lacks step-by-step directions, Yard &amp; Company developed a "vertically comprehensive approach" to bridge the gap between vision and follow-through. This strategy focuses on a specific corridor or site to detail action-oriented tasks, thereby translating horizontal values—such as racial equity and affordability—into vertical tactics aligned with decisions to be made over the next 12, 24, and 36 months. The session will showcase replicable strategies using local project examples, including business district revitalization in Pleasant Ridge and St. Bernard, and a successful long-term implementation plan from St. Louis.</w:t>
            </w:r>
          </w:p>
          <w:p w14:paraId="4DF7B400" w14:textId="77777777" w:rsidR="009E346E" w:rsidRDefault="009E346E"/>
          <w:p w14:paraId="759A4D96" w14:textId="55B70AF0" w:rsidR="006102BB" w:rsidRDefault="006102BB">
            <w:r w:rsidRPr="006102BB">
              <w:rPr>
                <w:b/>
                <w:bCs/>
              </w:rPr>
              <w:t>Applying LEED Regional Priority Credits to Site Plans</w:t>
            </w:r>
            <w:r>
              <w:t xml:space="preserve"> </w:t>
            </w:r>
            <w:r w:rsidRPr="006102BB">
              <w:t>[Sustainability]</w:t>
            </w:r>
          </w:p>
          <w:p w14:paraId="7CE94BD9" w14:textId="77777777" w:rsidR="006102BB" w:rsidRDefault="006102BB">
            <w:pPr>
              <w:rPr>
                <w:i/>
                <w:iCs/>
              </w:rPr>
            </w:pPr>
            <w:r>
              <w:t xml:space="preserve">  </w:t>
            </w:r>
            <w:r w:rsidRPr="00B368FB">
              <w:rPr>
                <w:i/>
                <w:iCs/>
              </w:rPr>
              <w:t>Tim Hawk</w:t>
            </w:r>
            <w:r w:rsidRPr="00B368FB">
              <w:rPr>
                <w:i/>
                <w:iCs/>
              </w:rPr>
              <w:t>, AICP</w:t>
            </w:r>
            <w:r w:rsidR="006F0763">
              <w:rPr>
                <w:i/>
                <w:iCs/>
              </w:rPr>
              <w:t>, GISP, LEED</w:t>
            </w:r>
            <w:r w:rsidRPr="00B368FB">
              <w:rPr>
                <w:i/>
                <w:iCs/>
              </w:rPr>
              <w:t xml:space="preserve"> and Taylor Collins</w:t>
            </w:r>
          </w:p>
          <w:p w14:paraId="0FB2026C" w14:textId="77777777" w:rsidR="006F0763" w:rsidRPr="006F0763" w:rsidRDefault="006F0763" w:rsidP="006F0763">
            <w:pPr>
              <w:ind w:left="166"/>
            </w:pPr>
            <w:r w:rsidRPr="006F0763">
              <w:rPr>
                <w:sz w:val="20"/>
                <w:szCs w:val="20"/>
              </w:rPr>
              <w:t xml:space="preserve">This session will examine the role of Regional Priority Credits in the US Green Buildings Council’s LEED scorecard and how to use them to influence site plans, reducing </w:t>
            </w:r>
            <w:r w:rsidRPr="006F0763">
              <w:t xml:space="preserve">the </w:t>
            </w:r>
            <w:r w:rsidRPr="006F0763">
              <w:rPr>
                <w:sz w:val="20"/>
                <w:szCs w:val="20"/>
              </w:rPr>
              <w:t>life cycle cost of new construction. We will explore an example of a US military project in White Sands, New Mexico and discuss how the plan may have changed if it had occurred in Cincinnati or Northern Kentucky.</w:t>
            </w:r>
          </w:p>
          <w:p w14:paraId="669AAEEA" w14:textId="5B23FE59" w:rsidR="006F0763" w:rsidRPr="006F0763" w:rsidRDefault="006F0763"/>
        </w:tc>
        <w:tc>
          <w:tcPr>
            <w:tcW w:w="1890" w:type="dxa"/>
          </w:tcPr>
          <w:p w14:paraId="127FB48F" w14:textId="77777777" w:rsidR="007428FF" w:rsidRDefault="00E9131E">
            <w:r>
              <w:lastRenderedPageBreak/>
              <w:t>Joseph Strauss Room</w:t>
            </w:r>
          </w:p>
          <w:p w14:paraId="2077C4F2" w14:textId="77777777" w:rsidR="00E9131E" w:rsidRDefault="00E9131E"/>
          <w:p w14:paraId="465B3F04" w14:textId="77777777" w:rsidR="000B273F" w:rsidRDefault="000B273F"/>
          <w:p w14:paraId="0BF4B8BF" w14:textId="77777777" w:rsidR="000B273F" w:rsidRDefault="000B273F"/>
          <w:p w14:paraId="73AC62B2" w14:textId="77777777" w:rsidR="000B273F" w:rsidRDefault="000B273F"/>
          <w:p w14:paraId="035B9672" w14:textId="37532C7E" w:rsidR="00E9131E" w:rsidRDefault="00E9131E">
            <w:r>
              <w:t>WKRP Room</w:t>
            </w:r>
          </w:p>
          <w:p w14:paraId="0B34EC0E" w14:textId="77777777" w:rsidR="006102BB" w:rsidRDefault="006102BB"/>
          <w:p w14:paraId="1631BB5D" w14:textId="77777777" w:rsidR="006102BB" w:rsidRDefault="006102BB"/>
          <w:p w14:paraId="307D3074" w14:textId="77777777" w:rsidR="000B273F" w:rsidRDefault="000B273F"/>
          <w:p w14:paraId="406870D5" w14:textId="77777777" w:rsidR="000B273F" w:rsidRDefault="000B273F"/>
          <w:p w14:paraId="592A7AD6" w14:textId="77777777" w:rsidR="000B273F" w:rsidRDefault="000B273F"/>
          <w:p w14:paraId="0E099489" w14:textId="77777777" w:rsidR="000B273F" w:rsidRDefault="000B273F"/>
          <w:p w14:paraId="67B13132" w14:textId="77777777" w:rsidR="000B273F" w:rsidRDefault="000B273F"/>
          <w:p w14:paraId="67A751AE" w14:textId="2093F881" w:rsidR="006102BB" w:rsidRDefault="006102BB">
            <w:r>
              <w:t>Corn Hole Room</w:t>
            </w:r>
          </w:p>
          <w:p w14:paraId="1BF62392" w14:textId="77777777" w:rsidR="006102BB" w:rsidRDefault="006102BB"/>
          <w:p w14:paraId="6630458A" w14:textId="77777777" w:rsidR="006102BB" w:rsidRDefault="006102BB"/>
          <w:p w14:paraId="44933D95" w14:textId="77777777" w:rsidR="000B273F" w:rsidRDefault="000B273F"/>
          <w:p w14:paraId="3DB000C0" w14:textId="77777777" w:rsidR="000B273F" w:rsidRDefault="000B273F"/>
          <w:p w14:paraId="04D5C380" w14:textId="77777777" w:rsidR="000B273F" w:rsidRDefault="000B273F"/>
          <w:p w14:paraId="489E7BA6" w14:textId="77777777" w:rsidR="000B273F" w:rsidRDefault="000B273F"/>
          <w:p w14:paraId="5EC55DE7" w14:textId="77777777" w:rsidR="000B273F" w:rsidRDefault="000B273F"/>
          <w:p w14:paraId="082D011B" w14:textId="77777777" w:rsidR="000B273F" w:rsidRDefault="000B273F"/>
          <w:p w14:paraId="4ED6A27F" w14:textId="77777777" w:rsidR="000B273F" w:rsidRDefault="000B273F"/>
          <w:p w14:paraId="3B8F73E2" w14:textId="41901085" w:rsidR="006102BB" w:rsidRDefault="006102BB">
            <w:r>
              <w:t>Leonard Baehr Room</w:t>
            </w:r>
          </w:p>
          <w:p w14:paraId="040AA4B6" w14:textId="103A45FC" w:rsidR="006102BB" w:rsidRDefault="006102BB"/>
        </w:tc>
      </w:tr>
      <w:tr w:rsidR="007428FF" w14:paraId="3E9F5E2E" w14:textId="275D8919" w:rsidTr="006102BB">
        <w:tc>
          <w:tcPr>
            <w:tcW w:w="1615" w:type="dxa"/>
            <w:shd w:val="clear" w:color="auto" w:fill="F2F2F2" w:themeFill="background1" w:themeFillShade="F2"/>
          </w:tcPr>
          <w:p w14:paraId="2F3C53D9" w14:textId="343F3C76" w:rsidR="007428FF" w:rsidRDefault="006102BB">
            <w:r>
              <w:t>10:45 – 11:00</w:t>
            </w:r>
          </w:p>
        </w:tc>
        <w:tc>
          <w:tcPr>
            <w:tcW w:w="7290" w:type="dxa"/>
            <w:shd w:val="clear" w:color="auto" w:fill="F2F2F2" w:themeFill="background1" w:themeFillShade="F2"/>
          </w:tcPr>
          <w:p w14:paraId="386966F4" w14:textId="0C1E5789" w:rsidR="007428FF" w:rsidRDefault="006102BB">
            <w:r>
              <w:t>Break</w:t>
            </w:r>
          </w:p>
        </w:tc>
        <w:tc>
          <w:tcPr>
            <w:tcW w:w="1890" w:type="dxa"/>
            <w:shd w:val="clear" w:color="auto" w:fill="F2F2F2" w:themeFill="background1" w:themeFillShade="F2"/>
          </w:tcPr>
          <w:p w14:paraId="4A6159A6" w14:textId="77777777" w:rsidR="007428FF" w:rsidRDefault="007428FF"/>
        </w:tc>
      </w:tr>
      <w:tr w:rsidR="007428FF" w14:paraId="3129B6D6" w14:textId="13B91FC8" w:rsidTr="006102BB">
        <w:tc>
          <w:tcPr>
            <w:tcW w:w="1615" w:type="dxa"/>
          </w:tcPr>
          <w:p w14:paraId="02ECE5C1" w14:textId="3B6F37A6" w:rsidR="007428FF" w:rsidRDefault="006102BB">
            <w:r>
              <w:t>11:00 – noon</w:t>
            </w:r>
          </w:p>
        </w:tc>
        <w:tc>
          <w:tcPr>
            <w:tcW w:w="7290" w:type="dxa"/>
          </w:tcPr>
          <w:p w14:paraId="288366B9" w14:textId="77777777" w:rsidR="007428FF" w:rsidRPr="00B368FB" w:rsidRDefault="006102BB">
            <w:pPr>
              <w:rPr>
                <w:b/>
                <w:bCs/>
              </w:rPr>
            </w:pPr>
            <w:r w:rsidRPr="00B368FB">
              <w:rPr>
                <w:b/>
                <w:bCs/>
              </w:rPr>
              <w:t>Expand Your Toolkit: Design Thinking for Inclusive Planning</w:t>
            </w:r>
          </w:p>
          <w:p w14:paraId="1FCEBC27" w14:textId="77777777" w:rsidR="006102BB" w:rsidRPr="00B368FB" w:rsidRDefault="006102BB">
            <w:pPr>
              <w:rPr>
                <w:i/>
                <w:iCs/>
              </w:rPr>
            </w:pPr>
            <w:r>
              <w:t xml:space="preserve">  </w:t>
            </w:r>
            <w:r w:rsidRPr="00B368FB">
              <w:rPr>
                <w:i/>
                <w:iCs/>
              </w:rPr>
              <w:t>Kayla Barbour and Tara Johnson-Noem</w:t>
            </w:r>
          </w:p>
          <w:p w14:paraId="12C3A289" w14:textId="6E206466" w:rsidR="006102BB" w:rsidRPr="00C507E2" w:rsidRDefault="00C507E2" w:rsidP="00C507E2">
            <w:pPr>
              <w:ind w:left="166"/>
              <w:rPr>
                <w:sz w:val="20"/>
                <w:szCs w:val="20"/>
              </w:rPr>
            </w:pPr>
            <w:r w:rsidRPr="00C507E2">
              <w:rPr>
                <w:sz w:val="20"/>
                <w:szCs w:val="20"/>
              </w:rPr>
              <w:t>Empathize. Define. Ideate. Prototype. Test. Design Thinking isn't just a linear series of steps, but a cyclical human-centered methodology that prioritizes growth through creative problem identification and inclusive implementation. Join us for a brief workshop where you’ll learn the foundations of the Design Thinking process while exploring issues relevant to local Housing Policy.</w:t>
            </w:r>
          </w:p>
          <w:p w14:paraId="4C21FBF9" w14:textId="77777777" w:rsidR="00C507E2" w:rsidRDefault="00C507E2"/>
          <w:p w14:paraId="5D6476BB" w14:textId="77777777" w:rsidR="006102BB" w:rsidRDefault="006102BB">
            <w:r w:rsidRPr="00B368FB">
              <w:rPr>
                <w:b/>
                <w:bCs/>
              </w:rPr>
              <w:t xml:space="preserve">Advocating For Affordable Housing Development When </w:t>
            </w:r>
            <w:r w:rsidRPr="00B368FB">
              <w:rPr>
                <w:b/>
                <w:bCs/>
              </w:rPr>
              <w:t>the</w:t>
            </w:r>
            <w:r w:rsidRPr="00B368FB">
              <w:rPr>
                <w:b/>
                <w:bCs/>
              </w:rPr>
              <w:t xml:space="preserve"> Room Is Stacked Against It</w:t>
            </w:r>
            <w:r>
              <w:t xml:space="preserve"> </w:t>
            </w:r>
            <w:r w:rsidRPr="006102BB">
              <w:t>[Equity]</w:t>
            </w:r>
          </w:p>
          <w:p w14:paraId="781D209F" w14:textId="75DFB01F" w:rsidR="006102BB" w:rsidRPr="00B368FB" w:rsidRDefault="006102BB" w:rsidP="006F0763">
            <w:pPr>
              <w:ind w:left="166"/>
              <w:rPr>
                <w:i/>
                <w:iCs/>
              </w:rPr>
            </w:pPr>
            <w:r>
              <w:t xml:space="preserve"> </w:t>
            </w:r>
            <w:r w:rsidRPr="00B368FB">
              <w:rPr>
                <w:i/>
                <w:iCs/>
              </w:rPr>
              <w:t>Sam Perry</w:t>
            </w:r>
            <w:r w:rsidR="00506271">
              <w:rPr>
                <w:i/>
                <w:iCs/>
              </w:rPr>
              <w:t>, AICP</w:t>
            </w:r>
            <w:r w:rsidRPr="00B368FB">
              <w:rPr>
                <w:i/>
                <w:iCs/>
              </w:rPr>
              <w:t>, Jessica Greene, Emily Lubbers, and Jonathan Wolcher</w:t>
            </w:r>
            <w:r w:rsidR="00506271">
              <w:rPr>
                <w:i/>
                <w:iCs/>
              </w:rPr>
              <w:t>, AICP</w:t>
            </w:r>
          </w:p>
          <w:p w14:paraId="1ECCF79F" w14:textId="1FBE1BD9" w:rsidR="006102BB" w:rsidRPr="006F0763" w:rsidRDefault="006F0763" w:rsidP="006F0763">
            <w:pPr>
              <w:ind w:left="166"/>
              <w:rPr>
                <w:sz w:val="20"/>
                <w:szCs w:val="20"/>
              </w:rPr>
            </w:pPr>
            <w:r w:rsidRPr="006F0763">
              <w:rPr>
                <w:sz w:val="20"/>
                <w:szCs w:val="20"/>
              </w:rPr>
              <w:t xml:space="preserve">National and state policy leaders are establishing funding programs and land use policies to address the nationwide housing crisis. However, the local jurisdiction’s planning and zoning </w:t>
            </w:r>
            <w:proofErr w:type="gramStart"/>
            <w:r w:rsidRPr="006F0763">
              <w:rPr>
                <w:sz w:val="20"/>
                <w:szCs w:val="20"/>
              </w:rPr>
              <w:t>policy-making</w:t>
            </w:r>
            <w:proofErr w:type="gramEnd"/>
            <w:r w:rsidRPr="006F0763">
              <w:rPr>
                <w:sz w:val="20"/>
                <w:szCs w:val="20"/>
              </w:rPr>
              <w:t xml:space="preserve"> is often where neighborhood battles for new affordable housing are lost. Engage with an experienced panel to learn how to raise your level of advocacy a notch higher while staying within appropriate legal and professional boundaries. </w:t>
            </w:r>
          </w:p>
          <w:p w14:paraId="64BB87CE" w14:textId="77777777" w:rsidR="006F0763" w:rsidRDefault="006F0763"/>
          <w:p w14:paraId="7D9B2D5E" w14:textId="77777777" w:rsidR="006102BB" w:rsidRPr="00B368FB" w:rsidRDefault="006102BB">
            <w:pPr>
              <w:rPr>
                <w:b/>
                <w:bCs/>
              </w:rPr>
            </w:pPr>
            <w:r w:rsidRPr="00B368FB">
              <w:rPr>
                <w:b/>
                <w:bCs/>
              </w:rPr>
              <w:t>The Indiana Road to Zero Academy: A Training Workshop model for Safer Streets</w:t>
            </w:r>
          </w:p>
          <w:p w14:paraId="1254B478" w14:textId="3B03885B" w:rsidR="006102BB" w:rsidRPr="00B368FB" w:rsidRDefault="006102BB">
            <w:pPr>
              <w:rPr>
                <w:i/>
                <w:iCs/>
              </w:rPr>
            </w:pPr>
            <w:r>
              <w:t xml:space="preserve">  </w:t>
            </w:r>
            <w:r w:rsidR="000F284E">
              <w:t xml:space="preserve"> </w:t>
            </w:r>
            <w:r w:rsidRPr="00B368FB">
              <w:rPr>
                <w:i/>
                <w:iCs/>
              </w:rPr>
              <w:t>Marjorie Hennessy</w:t>
            </w:r>
            <w:r w:rsidR="005636C5">
              <w:rPr>
                <w:i/>
                <w:iCs/>
              </w:rPr>
              <w:t>, AICP, LEED</w:t>
            </w:r>
            <w:r w:rsidRPr="00B368FB">
              <w:rPr>
                <w:i/>
                <w:iCs/>
              </w:rPr>
              <w:t>, Andrea Watts, and Ashlyn Devine</w:t>
            </w:r>
          </w:p>
          <w:p w14:paraId="3CDF27D9" w14:textId="2DBB4237" w:rsidR="006102BB" w:rsidRDefault="00AD1AD1" w:rsidP="00AD1AD1">
            <w:pPr>
              <w:ind w:left="166"/>
            </w:pPr>
            <w:r w:rsidRPr="00AD1AD1">
              <w:rPr>
                <w:sz w:val="20"/>
                <w:szCs w:val="20"/>
              </w:rPr>
              <w:t xml:space="preserve">The </w:t>
            </w:r>
            <w:r w:rsidRPr="00AD1AD1">
              <w:rPr>
                <w:sz w:val="20"/>
                <w:szCs w:val="20"/>
              </w:rPr>
              <w:t xml:space="preserve">Indiana Road to Zero Academy (IRTZA) </w:t>
            </w:r>
            <w:r w:rsidRPr="00AD1AD1">
              <w:rPr>
                <w:sz w:val="20"/>
                <w:szCs w:val="20"/>
              </w:rPr>
              <w:t xml:space="preserve">seeks to </w:t>
            </w:r>
            <w:r w:rsidRPr="00AD1AD1">
              <w:rPr>
                <w:sz w:val="20"/>
                <w:szCs w:val="20"/>
              </w:rPr>
              <w:t>equip community leaders, advocates, and professionals with tools to advance traffic safety initiatives with the goal of eliminating roadway fatalities. It will showcase the philosophies and approach to developing the workshop, including materials, content, structure, workshop design, and evaluation. Workshops seek to advance the Safe System approach to prioritize roadway safety and strengthen multimodal transportation systems.</w:t>
            </w:r>
          </w:p>
          <w:p w14:paraId="2E3F3D3A" w14:textId="77777777" w:rsidR="00AD1AD1" w:rsidRDefault="00AD1AD1">
            <w:pPr>
              <w:rPr>
                <w:b/>
                <w:bCs/>
              </w:rPr>
            </w:pPr>
          </w:p>
          <w:p w14:paraId="3FEBAFBF" w14:textId="77777777" w:rsidR="00FE7860" w:rsidRDefault="00FE7860">
            <w:pPr>
              <w:rPr>
                <w:b/>
                <w:bCs/>
              </w:rPr>
            </w:pPr>
          </w:p>
          <w:p w14:paraId="70F3F8E4" w14:textId="40600D51" w:rsidR="006102BB" w:rsidRPr="00B368FB" w:rsidRDefault="00F63905">
            <w:pPr>
              <w:rPr>
                <w:b/>
                <w:bCs/>
              </w:rPr>
            </w:pPr>
            <w:r w:rsidRPr="00B368FB">
              <w:rPr>
                <w:b/>
                <w:bCs/>
              </w:rPr>
              <w:lastRenderedPageBreak/>
              <w:t>Solutions to Grant Inequities in Urban Revitalization Nonprofits</w:t>
            </w:r>
          </w:p>
          <w:p w14:paraId="697E91C0" w14:textId="126EAD85" w:rsidR="00F63905" w:rsidRPr="00B368FB" w:rsidRDefault="00F63905">
            <w:pPr>
              <w:rPr>
                <w:i/>
                <w:iCs/>
              </w:rPr>
            </w:pPr>
            <w:r>
              <w:t xml:space="preserve">  </w:t>
            </w:r>
            <w:r w:rsidR="000F284E">
              <w:t xml:space="preserve"> </w:t>
            </w:r>
            <w:r w:rsidR="00F1064C" w:rsidRPr="00B368FB">
              <w:rPr>
                <w:i/>
                <w:iCs/>
              </w:rPr>
              <w:t>Simon Donkoh</w:t>
            </w:r>
            <w:r w:rsidR="006F0763">
              <w:rPr>
                <w:i/>
                <w:iCs/>
              </w:rPr>
              <w:t xml:space="preserve"> and Greg Robinson</w:t>
            </w:r>
          </w:p>
          <w:p w14:paraId="1C0C85BC" w14:textId="4240F604" w:rsidR="00F1064C" w:rsidRPr="000F284E" w:rsidRDefault="000F284E" w:rsidP="000F284E">
            <w:pPr>
              <w:ind w:left="166"/>
              <w:rPr>
                <w:sz w:val="20"/>
                <w:szCs w:val="20"/>
              </w:rPr>
            </w:pPr>
            <w:r w:rsidRPr="000F284E">
              <w:rPr>
                <w:sz w:val="20"/>
                <w:szCs w:val="20"/>
              </w:rPr>
              <w:t>This session examines persistent funding inequities and capacity barriers facing emerging nonprofits in housing and neighborhood revitalization, highlighting the self-reinforcing cycle that limits their access to grants and project opportunities. The presentation shares practical strategies used by smaller organizations to overcome these challenges, including equitable partnerships, improved grant alignment, and capacity-building approaches. Participants will gain actionable tools to break the grant cycle, strengthen nonprofit capacity, and advance more inclusive, community-driven revitalization efforts.</w:t>
            </w:r>
          </w:p>
          <w:p w14:paraId="6D676490" w14:textId="77777777" w:rsidR="000F284E" w:rsidRDefault="000F284E"/>
          <w:p w14:paraId="6AB8C516" w14:textId="77777777" w:rsidR="00F1064C" w:rsidRPr="00B368FB" w:rsidRDefault="003A1483">
            <w:pPr>
              <w:rPr>
                <w:b/>
                <w:bCs/>
              </w:rPr>
            </w:pPr>
            <w:r w:rsidRPr="00B368FB">
              <w:rPr>
                <w:b/>
                <w:bCs/>
              </w:rPr>
              <w:t>The Road to AICP - Process, Preparation and Passing</w:t>
            </w:r>
          </w:p>
          <w:p w14:paraId="7816C831" w14:textId="168A02A4" w:rsidR="003A1483" w:rsidRPr="00B368FB" w:rsidRDefault="003A1483">
            <w:pPr>
              <w:rPr>
                <w:i/>
                <w:iCs/>
              </w:rPr>
            </w:pPr>
            <w:r>
              <w:t xml:space="preserve">  </w:t>
            </w:r>
            <w:r w:rsidR="000F284E">
              <w:t xml:space="preserve"> </w:t>
            </w:r>
            <w:r w:rsidRPr="00B368FB">
              <w:rPr>
                <w:i/>
                <w:iCs/>
              </w:rPr>
              <w:t>Christine Dersi-Davis</w:t>
            </w:r>
            <w:r w:rsidRPr="00B368FB">
              <w:rPr>
                <w:i/>
                <w:iCs/>
              </w:rPr>
              <w:t>, AICP</w:t>
            </w:r>
            <w:r w:rsidRPr="00B368FB">
              <w:rPr>
                <w:i/>
                <w:iCs/>
              </w:rPr>
              <w:t xml:space="preserve"> and Eric Anderson</w:t>
            </w:r>
            <w:r w:rsidRPr="00B368FB">
              <w:rPr>
                <w:i/>
                <w:iCs/>
              </w:rPr>
              <w:t>, AICP</w:t>
            </w:r>
          </w:p>
          <w:p w14:paraId="4F24600B" w14:textId="153B3947" w:rsidR="003A1483" w:rsidRPr="000F284E" w:rsidRDefault="000F284E" w:rsidP="000F284E">
            <w:pPr>
              <w:ind w:left="166"/>
              <w:rPr>
                <w:sz w:val="20"/>
                <w:szCs w:val="20"/>
              </w:rPr>
            </w:pPr>
            <w:r w:rsidRPr="000F284E">
              <w:rPr>
                <w:sz w:val="20"/>
                <w:szCs w:val="20"/>
              </w:rPr>
              <w:t xml:space="preserve">Taking the AICP (American Institute of Certified Planners) exam is the first step to become a certified planner. To qualify, one must be a current APA National member, pass an examination, and submit an online application meeting certain education and experience criteria. This session will cover the basics of the AICP application process, offer tips to help </w:t>
            </w:r>
            <w:r w:rsidRPr="000F284E">
              <w:rPr>
                <w:sz w:val="20"/>
                <w:szCs w:val="20"/>
              </w:rPr>
              <w:t>you</w:t>
            </w:r>
            <w:r w:rsidRPr="000F284E">
              <w:rPr>
                <w:sz w:val="20"/>
                <w:szCs w:val="20"/>
              </w:rPr>
              <w:t xml:space="preserve"> prepare for the AICP examination, and we’ll discuss how to maintain your credential after becoming certified. AICP’s will also offer their experiences prepping for and taking the exam.</w:t>
            </w:r>
          </w:p>
          <w:p w14:paraId="5536C4D3" w14:textId="4CA744A6" w:rsidR="000F284E" w:rsidRDefault="000F284E"/>
        </w:tc>
        <w:tc>
          <w:tcPr>
            <w:tcW w:w="1890" w:type="dxa"/>
          </w:tcPr>
          <w:p w14:paraId="7805D2A9" w14:textId="77777777" w:rsidR="007428FF" w:rsidRDefault="006102BB">
            <w:r>
              <w:lastRenderedPageBreak/>
              <w:t>Joseph Strauss Room</w:t>
            </w:r>
          </w:p>
          <w:p w14:paraId="606DB7C6" w14:textId="77777777" w:rsidR="006102BB" w:rsidRDefault="006102BB"/>
          <w:p w14:paraId="54D14795" w14:textId="77777777" w:rsidR="000F284E" w:rsidRDefault="000F284E"/>
          <w:p w14:paraId="44687C7D" w14:textId="77777777" w:rsidR="000F284E" w:rsidRDefault="000F284E"/>
          <w:p w14:paraId="0148FCB0" w14:textId="77777777" w:rsidR="000F284E" w:rsidRDefault="000F284E"/>
          <w:p w14:paraId="2CE4FDE8" w14:textId="77777777" w:rsidR="000F284E" w:rsidRDefault="000F284E"/>
          <w:p w14:paraId="1DAAAA58" w14:textId="77777777" w:rsidR="000F284E" w:rsidRDefault="000F284E"/>
          <w:p w14:paraId="6CE99A55" w14:textId="67ED823F" w:rsidR="006102BB" w:rsidRDefault="006102BB">
            <w:r>
              <w:t>WKRP Room</w:t>
            </w:r>
          </w:p>
          <w:p w14:paraId="20DC40B2" w14:textId="77777777" w:rsidR="006102BB" w:rsidRDefault="006102BB"/>
          <w:p w14:paraId="7A74E3BC" w14:textId="77777777" w:rsidR="006102BB" w:rsidRDefault="006102BB"/>
          <w:p w14:paraId="651C8A1C" w14:textId="77777777" w:rsidR="006102BB" w:rsidRDefault="006102BB"/>
          <w:p w14:paraId="6B8DBA06" w14:textId="77777777" w:rsidR="000F284E" w:rsidRDefault="000F284E"/>
          <w:p w14:paraId="5797D3EF" w14:textId="77777777" w:rsidR="000F284E" w:rsidRDefault="000F284E"/>
          <w:p w14:paraId="0130BFBC" w14:textId="77777777" w:rsidR="000F284E" w:rsidRDefault="000F284E"/>
          <w:p w14:paraId="745E5A85" w14:textId="77777777" w:rsidR="000F284E" w:rsidRDefault="000F284E"/>
          <w:p w14:paraId="01DE6EF0" w14:textId="77777777" w:rsidR="000F284E" w:rsidRDefault="000F284E"/>
          <w:p w14:paraId="65FD4483" w14:textId="4D529FFD" w:rsidR="006102BB" w:rsidRDefault="006102BB">
            <w:r>
              <w:t>Corn Hole Room</w:t>
            </w:r>
          </w:p>
          <w:p w14:paraId="13571F58" w14:textId="77777777" w:rsidR="00F1064C" w:rsidRDefault="00F1064C"/>
          <w:p w14:paraId="6D033AC6" w14:textId="77777777" w:rsidR="00F1064C" w:rsidRDefault="00F1064C"/>
          <w:p w14:paraId="0CD142FC" w14:textId="77777777" w:rsidR="00F1064C" w:rsidRDefault="00F1064C"/>
          <w:p w14:paraId="0CC1B4F0" w14:textId="77777777" w:rsidR="00506271" w:rsidRDefault="00506271"/>
          <w:p w14:paraId="3030D578" w14:textId="77777777" w:rsidR="000F284E" w:rsidRDefault="000F284E"/>
          <w:p w14:paraId="5595C85E" w14:textId="77777777" w:rsidR="000F284E" w:rsidRDefault="000F284E"/>
          <w:p w14:paraId="7601D0B0" w14:textId="77777777" w:rsidR="000F284E" w:rsidRDefault="000F284E"/>
          <w:p w14:paraId="7BD386E5" w14:textId="77777777" w:rsidR="000F284E" w:rsidRDefault="000F284E"/>
          <w:p w14:paraId="4E9AF274" w14:textId="3EAFDD8F" w:rsidR="00F1064C" w:rsidRDefault="00F1064C">
            <w:r>
              <w:lastRenderedPageBreak/>
              <w:t>Leonard Baehr Room</w:t>
            </w:r>
          </w:p>
          <w:p w14:paraId="1DCBAE24" w14:textId="77777777" w:rsidR="003A1483" w:rsidRDefault="003A1483"/>
          <w:p w14:paraId="5D3DC40E" w14:textId="77777777" w:rsidR="000F284E" w:rsidRDefault="000F284E"/>
          <w:p w14:paraId="372F708F" w14:textId="77777777" w:rsidR="000F284E" w:rsidRDefault="000F284E"/>
          <w:p w14:paraId="73ED3686" w14:textId="77777777" w:rsidR="000F284E" w:rsidRDefault="000F284E"/>
          <w:p w14:paraId="4B268971" w14:textId="77777777" w:rsidR="000F284E" w:rsidRDefault="000F284E"/>
          <w:p w14:paraId="0A624929" w14:textId="77777777" w:rsidR="000F284E" w:rsidRDefault="000F284E"/>
          <w:p w14:paraId="6CE5823B" w14:textId="77777777" w:rsidR="000F284E" w:rsidRDefault="000F284E"/>
          <w:p w14:paraId="4004F367" w14:textId="779D6981" w:rsidR="003A1483" w:rsidRDefault="003A1483">
            <w:r>
              <w:t>Beast Amphitheatre</w:t>
            </w:r>
          </w:p>
        </w:tc>
      </w:tr>
      <w:tr w:rsidR="003A1483" w14:paraId="3A320499" w14:textId="77777777" w:rsidTr="006102BB">
        <w:tc>
          <w:tcPr>
            <w:tcW w:w="1615" w:type="dxa"/>
          </w:tcPr>
          <w:p w14:paraId="74D235B6" w14:textId="44D04296" w:rsidR="003A1483" w:rsidRDefault="003A1483">
            <w:r>
              <w:t>Noon – 1:30</w:t>
            </w:r>
          </w:p>
        </w:tc>
        <w:tc>
          <w:tcPr>
            <w:tcW w:w="7290" w:type="dxa"/>
          </w:tcPr>
          <w:p w14:paraId="627AF127" w14:textId="77777777" w:rsidR="003A1483" w:rsidRPr="006F0763" w:rsidRDefault="003A1483">
            <w:pPr>
              <w:rPr>
                <w:u w:val="single"/>
              </w:rPr>
            </w:pPr>
            <w:r w:rsidRPr="006F0763">
              <w:rPr>
                <w:u w:val="single"/>
              </w:rPr>
              <w:t>Lunch and Keynote Presentation</w:t>
            </w:r>
          </w:p>
          <w:p w14:paraId="73391DA2" w14:textId="77777777" w:rsidR="007354CA" w:rsidRPr="007354CA" w:rsidRDefault="007354CA">
            <w:pPr>
              <w:rPr>
                <w:b/>
                <w:bCs/>
              </w:rPr>
            </w:pPr>
            <w:r w:rsidRPr="007354CA">
              <w:rPr>
                <w:b/>
                <w:bCs/>
              </w:rPr>
              <w:t>Built to Connect: How Trails Drive Development, Partnership, and Place</w:t>
            </w:r>
          </w:p>
          <w:p w14:paraId="4278BEF8" w14:textId="4F329CFC" w:rsidR="007354CA" w:rsidRPr="007354CA" w:rsidRDefault="007354CA" w:rsidP="007354CA">
            <w:pPr>
              <w:ind w:left="360"/>
              <w:rPr>
                <w:i/>
                <w:iCs/>
              </w:rPr>
            </w:pPr>
            <w:r w:rsidRPr="007354CA">
              <w:rPr>
                <w:i/>
                <w:iCs/>
              </w:rPr>
              <w:t xml:space="preserve">Keynote Speaker: </w:t>
            </w:r>
            <w:r w:rsidRPr="007354CA">
              <w:rPr>
                <w:i/>
                <w:iCs/>
              </w:rPr>
              <w:t>Mark Jeffreys, City of Cincinnati Councilmember</w:t>
            </w:r>
          </w:p>
          <w:p w14:paraId="705FC971" w14:textId="1660ACE8" w:rsidR="007354CA" w:rsidRDefault="007354CA" w:rsidP="007354CA">
            <w:pPr>
              <w:ind w:left="360"/>
              <w:rPr>
                <w:i/>
                <w:iCs/>
              </w:rPr>
            </w:pPr>
            <w:r w:rsidRPr="007354CA">
              <w:rPr>
                <w:i/>
                <w:iCs/>
              </w:rPr>
              <w:t>Keynote panel: Pete Metz, Wade Johnston</w:t>
            </w:r>
            <w:r w:rsidR="009E346E">
              <w:rPr>
                <w:i/>
                <w:iCs/>
              </w:rPr>
              <w:t>, AICP</w:t>
            </w:r>
            <w:r w:rsidRPr="007354CA">
              <w:rPr>
                <w:i/>
                <w:iCs/>
              </w:rPr>
              <w:t>, and Melissa Taylor</w:t>
            </w:r>
          </w:p>
          <w:p w14:paraId="21740EA2" w14:textId="67A08951" w:rsidR="00AD1AD1" w:rsidRPr="00AD1AD1" w:rsidRDefault="00AD1AD1" w:rsidP="00AD1AD1">
            <w:pPr>
              <w:ind w:left="346"/>
              <w:rPr>
                <w:sz w:val="20"/>
                <w:szCs w:val="20"/>
              </w:rPr>
            </w:pPr>
            <w:r w:rsidRPr="00AD1AD1">
              <w:rPr>
                <w:sz w:val="20"/>
                <w:szCs w:val="20"/>
              </w:rPr>
              <w:t>Improving walkability and multi-modal access has become a focus in planning and development, not only within our region's urban communities, but across all types. Trails and pathways connect people to neighbors, jobs, recreation, and a wide variety of destinations. Our region has been making progress worthy of reflection and discussion on why community members in a wide variety of roles should be involved in trail building, how to do it, and the types of benefits that can result.</w:t>
            </w:r>
          </w:p>
          <w:p w14:paraId="3F637676" w14:textId="2D43139A" w:rsidR="007354CA" w:rsidRPr="006102BB" w:rsidRDefault="007354CA"/>
        </w:tc>
        <w:tc>
          <w:tcPr>
            <w:tcW w:w="1890" w:type="dxa"/>
          </w:tcPr>
          <w:p w14:paraId="081DF2C4" w14:textId="77777777" w:rsidR="003A1483" w:rsidRDefault="003A1483">
            <w:r>
              <w:t>Cincinnatus Ballroom</w:t>
            </w:r>
          </w:p>
          <w:p w14:paraId="65C463B5" w14:textId="2B81566B" w:rsidR="003A1483" w:rsidRDefault="003A1483"/>
        </w:tc>
      </w:tr>
      <w:tr w:rsidR="003A1483" w14:paraId="0B829314" w14:textId="77777777" w:rsidTr="00444225">
        <w:tc>
          <w:tcPr>
            <w:tcW w:w="1615" w:type="dxa"/>
            <w:shd w:val="clear" w:color="auto" w:fill="F2F2F2" w:themeFill="background1" w:themeFillShade="F2"/>
          </w:tcPr>
          <w:p w14:paraId="08A5B82A" w14:textId="4DD3FEBB" w:rsidR="003A1483" w:rsidRDefault="003A1483">
            <w:r>
              <w:t>1:30 – 1:45</w:t>
            </w:r>
          </w:p>
        </w:tc>
        <w:tc>
          <w:tcPr>
            <w:tcW w:w="7290" w:type="dxa"/>
            <w:shd w:val="clear" w:color="auto" w:fill="F2F2F2" w:themeFill="background1" w:themeFillShade="F2"/>
          </w:tcPr>
          <w:p w14:paraId="5896D396" w14:textId="2119F03F" w:rsidR="003A1483" w:rsidRDefault="003A1483">
            <w:r>
              <w:t>Break</w:t>
            </w:r>
          </w:p>
        </w:tc>
        <w:tc>
          <w:tcPr>
            <w:tcW w:w="1890" w:type="dxa"/>
            <w:shd w:val="clear" w:color="auto" w:fill="F2F2F2" w:themeFill="background1" w:themeFillShade="F2"/>
          </w:tcPr>
          <w:p w14:paraId="2D400167" w14:textId="77777777" w:rsidR="003A1483" w:rsidRDefault="003A1483"/>
        </w:tc>
      </w:tr>
      <w:tr w:rsidR="003A1483" w14:paraId="70778644" w14:textId="77777777" w:rsidTr="006102BB">
        <w:tc>
          <w:tcPr>
            <w:tcW w:w="1615" w:type="dxa"/>
          </w:tcPr>
          <w:p w14:paraId="130439AE" w14:textId="7261E3DD" w:rsidR="003A1483" w:rsidRDefault="003A1483">
            <w:r>
              <w:t>1:45 – 2:45</w:t>
            </w:r>
          </w:p>
        </w:tc>
        <w:tc>
          <w:tcPr>
            <w:tcW w:w="7290" w:type="dxa"/>
          </w:tcPr>
          <w:p w14:paraId="3C92C74B" w14:textId="77777777" w:rsidR="003A1483" w:rsidRPr="00444225" w:rsidRDefault="003A1483">
            <w:pPr>
              <w:rPr>
                <w:b/>
                <w:bCs/>
              </w:rPr>
            </w:pPr>
            <w:r w:rsidRPr="00444225">
              <w:rPr>
                <w:b/>
                <w:bCs/>
              </w:rPr>
              <w:t>Lessons Learned: Wisdom from Seasoned Planners</w:t>
            </w:r>
          </w:p>
          <w:p w14:paraId="2538B3F1" w14:textId="16259907" w:rsidR="003A1483" w:rsidRPr="00B368FB" w:rsidRDefault="00031DB7" w:rsidP="000F284E">
            <w:pPr>
              <w:ind w:left="166"/>
              <w:rPr>
                <w:i/>
                <w:iCs/>
              </w:rPr>
            </w:pPr>
            <w:r w:rsidRPr="00B368FB">
              <w:rPr>
                <w:i/>
                <w:iCs/>
              </w:rPr>
              <w:t>Katherine Keough-Jurs</w:t>
            </w:r>
            <w:r w:rsidRPr="00B368FB">
              <w:rPr>
                <w:i/>
                <w:iCs/>
              </w:rPr>
              <w:t>, FAICP</w:t>
            </w:r>
            <w:r w:rsidRPr="00B368FB">
              <w:rPr>
                <w:i/>
                <w:iCs/>
              </w:rPr>
              <w:t>, Eric Anderson</w:t>
            </w:r>
            <w:r w:rsidRPr="00B368FB">
              <w:rPr>
                <w:i/>
                <w:iCs/>
              </w:rPr>
              <w:t>, AICP</w:t>
            </w:r>
            <w:r w:rsidRPr="00B368FB">
              <w:rPr>
                <w:i/>
                <w:iCs/>
              </w:rPr>
              <w:t>,</w:t>
            </w:r>
            <w:r w:rsidRPr="00B368FB">
              <w:rPr>
                <w:i/>
                <w:iCs/>
              </w:rPr>
              <w:t xml:space="preserve"> and</w:t>
            </w:r>
            <w:r w:rsidRPr="00B368FB">
              <w:rPr>
                <w:i/>
                <w:iCs/>
              </w:rPr>
              <w:t xml:space="preserve"> Greg Dale</w:t>
            </w:r>
            <w:r w:rsidRPr="00B368FB">
              <w:rPr>
                <w:i/>
                <w:iCs/>
              </w:rPr>
              <w:t>, FAICP</w:t>
            </w:r>
          </w:p>
          <w:p w14:paraId="5EA37465" w14:textId="239C7409" w:rsidR="00031DB7" w:rsidRDefault="000F284E" w:rsidP="000F284E">
            <w:pPr>
              <w:ind w:left="166"/>
            </w:pPr>
            <w:r w:rsidRPr="000F284E">
              <w:rPr>
                <w:sz w:val="20"/>
                <w:szCs w:val="20"/>
              </w:rPr>
              <w:t>Join a discussion of seasoned planning professionals who will share candid insights gained through decades of practice. Through their years of experience, they’ve seen a lot and learned a lot. Learn how the planning profession has changed over the years and hear them speak frankly about challenges they experienced throughout their career and lessons they learned along the way.</w:t>
            </w:r>
          </w:p>
          <w:p w14:paraId="1CCA0762" w14:textId="77777777" w:rsidR="000F284E" w:rsidRDefault="000F284E"/>
          <w:p w14:paraId="26334D98" w14:textId="77777777" w:rsidR="00031DB7" w:rsidRPr="00444225" w:rsidRDefault="00031DB7">
            <w:pPr>
              <w:rPr>
                <w:b/>
                <w:bCs/>
              </w:rPr>
            </w:pPr>
            <w:r w:rsidRPr="00444225">
              <w:rPr>
                <w:b/>
                <w:bCs/>
              </w:rPr>
              <w:t>Planning for Health: Where Do We Stand?</w:t>
            </w:r>
          </w:p>
          <w:p w14:paraId="6EE9F643" w14:textId="77777777" w:rsidR="00031DB7" w:rsidRPr="00B368FB" w:rsidRDefault="00031DB7">
            <w:pPr>
              <w:rPr>
                <w:i/>
                <w:iCs/>
              </w:rPr>
            </w:pPr>
            <w:r>
              <w:t xml:space="preserve">  </w:t>
            </w:r>
            <w:r w:rsidRPr="00B368FB">
              <w:rPr>
                <w:i/>
                <w:iCs/>
              </w:rPr>
              <w:t>Milo Simpson and Martin Kim</w:t>
            </w:r>
            <w:r w:rsidRPr="00B368FB">
              <w:rPr>
                <w:i/>
                <w:iCs/>
              </w:rPr>
              <w:t>, AICP</w:t>
            </w:r>
          </w:p>
          <w:p w14:paraId="37695863" w14:textId="1FB1D5D5" w:rsidR="00444225" w:rsidRPr="00AD1AD1" w:rsidRDefault="00AD1AD1" w:rsidP="00AD1AD1">
            <w:pPr>
              <w:ind w:left="166"/>
              <w:rPr>
                <w:sz w:val="20"/>
                <w:szCs w:val="20"/>
              </w:rPr>
            </w:pPr>
            <w:r w:rsidRPr="00AD1AD1">
              <w:rPr>
                <w:sz w:val="20"/>
                <w:szCs w:val="20"/>
              </w:rPr>
              <w:t xml:space="preserve">As part of the Miami Valley Regional Planning Commission’s PLAN4Health – Miami Valley Initiative, staff wanted to answer the question; are communities in our region promoting and advocating for health in all plans and policies? And if not, how can they? An audit of local planning documents and subsequent survey sent to local </w:t>
            </w:r>
            <w:proofErr w:type="gramStart"/>
            <w:r w:rsidRPr="00AD1AD1">
              <w:rPr>
                <w:sz w:val="20"/>
                <w:szCs w:val="20"/>
              </w:rPr>
              <w:t>planners,</w:t>
            </w:r>
            <w:proofErr w:type="gramEnd"/>
            <w:r w:rsidRPr="00AD1AD1">
              <w:rPr>
                <w:sz w:val="20"/>
                <w:szCs w:val="20"/>
              </w:rPr>
              <w:t xml:space="preserve"> revealed the answer to that question.</w:t>
            </w:r>
          </w:p>
          <w:p w14:paraId="26658C5F" w14:textId="77777777" w:rsidR="00AD1AD1" w:rsidRDefault="00AD1AD1"/>
          <w:p w14:paraId="42C800FA" w14:textId="77777777" w:rsidR="00FE7860" w:rsidRDefault="00FE7860">
            <w:pPr>
              <w:rPr>
                <w:b/>
                <w:bCs/>
              </w:rPr>
            </w:pPr>
          </w:p>
          <w:p w14:paraId="0A47013A" w14:textId="77777777" w:rsidR="00FE7860" w:rsidRDefault="00FE7860">
            <w:pPr>
              <w:rPr>
                <w:b/>
                <w:bCs/>
              </w:rPr>
            </w:pPr>
          </w:p>
          <w:p w14:paraId="307AA55D" w14:textId="0DDA499F" w:rsidR="00444225" w:rsidRPr="00444225" w:rsidRDefault="00444225">
            <w:pPr>
              <w:rPr>
                <w:b/>
                <w:bCs/>
              </w:rPr>
            </w:pPr>
            <w:r w:rsidRPr="00444225">
              <w:rPr>
                <w:b/>
                <w:bCs/>
              </w:rPr>
              <w:lastRenderedPageBreak/>
              <w:t>Planning for the Digital Age: Broadband, Data Centers, and Community Capacity</w:t>
            </w:r>
          </w:p>
          <w:p w14:paraId="2CEF48EB" w14:textId="154AA9DD" w:rsidR="00444225" w:rsidRPr="00B368FB" w:rsidRDefault="00444225">
            <w:pPr>
              <w:rPr>
                <w:i/>
                <w:iCs/>
              </w:rPr>
            </w:pPr>
            <w:r>
              <w:t xml:space="preserve">  </w:t>
            </w:r>
            <w:r w:rsidRPr="00B368FB">
              <w:rPr>
                <w:i/>
                <w:iCs/>
              </w:rPr>
              <w:t>Taylor Stuckert</w:t>
            </w:r>
            <w:r w:rsidR="005636C5">
              <w:rPr>
                <w:i/>
                <w:iCs/>
              </w:rPr>
              <w:t>, AICP</w:t>
            </w:r>
            <w:r w:rsidRPr="00B368FB">
              <w:rPr>
                <w:i/>
                <w:iCs/>
              </w:rPr>
              <w:t>, Meghan Sandfoss</w:t>
            </w:r>
            <w:r w:rsidR="005636C5">
              <w:rPr>
                <w:i/>
                <w:iCs/>
              </w:rPr>
              <w:t>, AICP</w:t>
            </w:r>
            <w:r w:rsidRPr="00B368FB">
              <w:rPr>
                <w:i/>
                <w:iCs/>
              </w:rPr>
              <w:t xml:space="preserve">, and Peter </w:t>
            </w:r>
            <w:proofErr w:type="spellStart"/>
            <w:r w:rsidRPr="00B368FB">
              <w:rPr>
                <w:i/>
                <w:iCs/>
              </w:rPr>
              <w:t>Voderberg</w:t>
            </w:r>
            <w:proofErr w:type="spellEnd"/>
          </w:p>
          <w:p w14:paraId="43CB58CD" w14:textId="0ABF94DC" w:rsidR="00444225" w:rsidRPr="00B71DD3" w:rsidRDefault="00B71DD3" w:rsidP="00B71DD3">
            <w:pPr>
              <w:ind w:left="166"/>
              <w:rPr>
                <w:sz w:val="20"/>
                <w:szCs w:val="20"/>
              </w:rPr>
            </w:pPr>
            <w:r w:rsidRPr="00B71DD3">
              <w:rPr>
                <w:sz w:val="20"/>
                <w:szCs w:val="20"/>
              </w:rPr>
              <w:t>Join the State Broadband Directors of Ohio and Kentucky for a regional analysis of digital infrastructure growth, ranging from high-speed internet deployment to the rising demand for data centers. This panel explores how communities can move beyond reactive regulation by proactively preparing for the digital age with traditional approaches to planning as well as the non-traditional, such as the utilization of service fellowships to build capacity and drive proactive public engagement. Attendees will leave with strategies to effectively balance local land-use protections with the necessity of modern digital connectivity.</w:t>
            </w:r>
          </w:p>
          <w:p w14:paraId="75BA564A" w14:textId="77777777" w:rsidR="00B71DD3" w:rsidRDefault="00B71DD3"/>
          <w:p w14:paraId="55714693" w14:textId="5A195F6C" w:rsidR="00444225" w:rsidRDefault="00444225">
            <w:r w:rsidRPr="00444225">
              <w:rPr>
                <w:b/>
                <w:bCs/>
              </w:rPr>
              <w:t xml:space="preserve">A Slippery Slope: Working Together to Protect Sensitive </w:t>
            </w:r>
            <w:proofErr w:type="gramStart"/>
            <w:r w:rsidRPr="00444225">
              <w:rPr>
                <w:b/>
                <w:bCs/>
              </w:rPr>
              <w:t>Areas</w:t>
            </w:r>
            <w:r>
              <w:t xml:space="preserve">  </w:t>
            </w:r>
            <w:r w:rsidRPr="00444225">
              <w:t>[</w:t>
            </w:r>
            <w:proofErr w:type="gramEnd"/>
            <w:r w:rsidRPr="00444225">
              <w:t>Sustainability</w:t>
            </w:r>
            <w:r>
              <w:t>]</w:t>
            </w:r>
          </w:p>
          <w:p w14:paraId="1CF18E97" w14:textId="5603ACA7" w:rsidR="00444225" w:rsidRPr="00B368FB" w:rsidRDefault="00444225">
            <w:pPr>
              <w:rPr>
                <w:i/>
                <w:iCs/>
              </w:rPr>
            </w:pPr>
            <w:r>
              <w:t xml:space="preserve">  </w:t>
            </w:r>
            <w:r w:rsidR="009E346E">
              <w:t xml:space="preserve"> </w:t>
            </w:r>
            <w:r w:rsidRPr="00B368FB">
              <w:rPr>
                <w:i/>
                <w:iCs/>
              </w:rPr>
              <w:t>Andy Videkovich</w:t>
            </w:r>
            <w:r w:rsidRPr="00B368FB">
              <w:rPr>
                <w:i/>
                <w:iCs/>
              </w:rPr>
              <w:t>, AICP</w:t>
            </w:r>
            <w:r w:rsidRPr="00B368FB">
              <w:rPr>
                <w:i/>
                <w:iCs/>
              </w:rPr>
              <w:t>, Eric Russo, Nicole Clements, and Kayla Barbour</w:t>
            </w:r>
          </w:p>
          <w:p w14:paraId="7E049785" w14:textId="77777777" w:rsidR="009E346E" w:rsidRPr="009E346E" w:rsidRDefault="009E346E" w:rsidP="009E346E">
            <w:pPr>
              <w:ind w:left="166"/>
              <w:rPr>
                <w:rFonts w:eastAsia="Times New Roman"/>
                <w:color w:val="000000"/>
                <w:sz w:val="20"/>
                <w:szCs w:val="20"/>
              </w:rPr>
            </w:pPr>
            <w:r w:rsidRPr="009E346E">
              <w:rPr>
                <w:rFonts w:eastAsia="Times New Roman"/>
                <w:i/>
                <w:iCs/>
                <w:color w:val="000000"/>
                <w:sz w:val="20"/>
                <w:szCs w:val="20"/>
              </w:rPr>
              <w:t xml:space="preserve">A Slippery Slope: Working Together to Protect Sensitive Areas </w:t>
            </w:r>
            <w:r w:rsidRPr="009E346E">
              <w:rPr>
                <w:rFonts w:eastAsia="Times New Roman"/>
                <w:color w:val="000000"/>
                <w:sz w:val="20"/>
                <w:szCs w:val="20"/>
              </w:rPr>
              <w:t>is an environmental planning-focused session on coordinating watershed</w:t>
            </w:r>
            <w:r w:rsidRPr="009E346E">
              <w:rPr>
                <w:rFonts w:eastAsia="Times New Roman"/>
                <w:b/>
                <w:bCs/>
                <w:color w:val="000000"/>
                <w:sz w:val="20"/>
                <w:szCs w:val="20"/>
              </w:rPr>
              <w:t xml:space="preserve"> </w:t>
            </w:r>
            <w:r w:rsidRPr="009E346E">
              <w:rPr>
                <w:rFonts w:eastAsia="Times New Roman"/>
                <w:color w:val="000000"/>
                <w:sz w:val="20"/>
                <w:szCs w:val="20"/>
              </w:rPr>
              <w:t>protection, hillside safety, and land use policy to promote resilient community growth and the conservation of natural areas.</w:t>
            </w:r>
          </w:p>
          <w:p w14:paraId="7E7A55FF" w14:textId="77777777" w:rsidR="009E346E" w:rsidRDefault="009E346E"/>
          <w:p w14:paraId="21F9CEC0" w14:textId="77777777" w:rsidR="00444225" w:rsidRPr="00444225" w:rsidRDefault="00444225">
            <w:pPr>
              <w:rPr>
                <w:u w:val="single"/>
              </w:rPr>
            </w:pPr>
            <w:r w:rsidRPr="00444225">
              <w:rPr>
                <w:u w:val="single"/>
              </w:rPr>
              <w:t xml:space="preserve">Mini-Sessions:  </w:t>
            </w:r>
          </w:p>
          <w:p w14:paraId="3B3C5F77" w14:textId="77777777" w:rsidR="00444225" w:rsidRPr="00444225" w:rsidRDefault="00444225">
            <w:pPr>
              <w:rPr>
                <w:b/>
                <w:bCs/>
              </w:rPr>
            </w:pPr>
            <w:r w:rsidRPr="00444225">
              <w:rPr>
                <w:b/>
                <w:bCs/>
              </w:rPr>
              <w:t xml:space="preserve">Creating Safe Routes to School: Partnering with State Agencies to Provide Local Mini-Grants </w:t>
            </w:r>
          </w:p>
          <w:p w14:paraId="0A93DA8B" w14:textId="77777777" w:rsidR="00444225" w:rsidRDefault="00444225">
            <w:pPr>
              <w:rPr>
                <w:i/>
                <w:iCs/>
              </w:rPr>
            </w:pPr>
            <w:r>
              <w:t xml:space="preserve">  </w:t>
            </w:r>
            <w:r w:rsidRPr="00B368FB">
              <w:rPr>
                <w:i/>
                <w:iCs/>
              </w:rPr>
              <w:t>Ashlyn Devine</w:t>
            </w:r>
          </w:p>
          <w:p w14:paraId="363EB916" w14:textId="05322780" w:rsidR="00AD1AD1" w:rsidRPr="00AD1AD1" w:rsidRDefault="00AD1AD1" w:rsidP="00AD1AD1">
            <w:pPr>
              <w:ind w:left="166"/>
              <w:rPr>
                <w:sz w:val="20"/>
                <w:szCs w:val="20"/>
              </w:rPr>
            </w:pPr>
            <w:r w:rsidRPr="00AD1AD1">
              <w:rPr>
                <w:sz w:val="20"/>
                <w:szCs w:val="20"/>
              </w:rPr>
              <w:t xml:space="preserve">This session will focus on how a statewide nonprofit organization utilizes public health funding to support active transportation and the built environment through a statewide Safe Routes to School program funding through the Indiana Department of Health. It will highlight the role of </w:t>
            </w:r>
            <w:proofErr w:type="gramStart"/>
            <w:r w:rsidRPr="00AD1AD1">
              <w:rPr>
                <w:sz w:val="20"/>
                <w:szCs w:val="20"/>
              </w:rPr>
              <w:t>mini-grants</w:t>
            </w:r>
            <w:proofErr w:type="gramEnd"/>
            <w:r w:rsidRPr="00AD1AD1">
              <w:rPr>
                <w:sz w:val="20"/>
                <w:szCs w:val="20"/>
              </w:rPr>
              <w:t xml:space="preserve"> to support local community efforts to increase the number of students walking, biking, and rolling to school and around their communities. </w:t>
            </w:r>
            <w:proofErr w:type="gramStart"/>
            <w:r w:rsidRPr="00AD1AD1">
              <w:rPr>
                <w:sz w:val="20"/>
                <w:szCs w:val="20"/>
              </w:rPr>
              <w:t>Grantee</w:t>
            </w:r>
            <w:proofErr w:type="gramEnd"/>
            <w:r w:rsidRPr="00AD1AD1">
              <w:rPr>
                <w:sz w:val="20"/>
                <w:szCs w:val="20"/>
              </w:rPr>
              <w:t xml:space="preserve"> success stories from both rural and urban contexts will be shared.</w:t>
            </w:r>
          </w:p>
          <w:p w14:paraId="3F5A11B6" w14:textId="77777777" w:rsidR="00AD1AD1" w:rsidRPr="00AD1AD1" w:rsidRDefault="00AD1AD1"/>
          <w:p w14:paraId="5E5D0DEC" w14:textId="77777777" w:rsidR="00444225" w:rsidRPr="00444225" w:rsidRDefault="00444225">
            <w:pPr>
              <w:rPr>
                <w:b/>
                <w:bCs/>
              </w:rPr>
            </w:pPr>
            <w:r w:rsidRPr="00444225">
              <w:rPr>
                <w:b/>
                <w:bCs/>
              </w:rPr>
              <w:t>Reframing Aspirations for Walkable, Equitable Communities: Lessons from the United States and Comparative Insights from Sub-Saharan Africa</w:t>
            </w:r>
          </w:p>
          <w:p w14:paraId="3CFA8F3F" w14:textId="14672DE4" w:rsidR="00444225" w:rsidRDefault="00444225">
            <w:pPr>
              <w:rPr>
                <w:i/>
                <w:iCs/>
              </w:rPr>
            </w:pPr>
            <w:r>
              <w:t xml:space="preserve">  </w:t>
            </w:r>
            <w:r w:rsidR="000F284E">
              <w:t xml:space="preserve"> </w:t>
            </w:r>
            <w:r w:rsidRPr="00B368FB">
              <w:rPr>
                <w:i/>
                <w:iCs/>
              </w:rPr>
              <w:t>Simon Donkoh</w:t>
            </w:r>
          </w:p>
          <w:p w14:paraId="33AAA461" w14:textId="77777777" w:rsidR="000F284E" w:rsidRDefault="000F284E" w:rsidP="000F284E">
            <w:pPr>
              <w:ind w:left="166"/>
              <w:rPr>
                <w:sz w:val="20"/>
                <w:szCs w:val="20"/>
              </w:rPr>
            </w:pPr>
            <w:r w:rsidRPr="000F284E">
              <w:rPr>
                <w:sz w:val="20"/>
                <w:szCs w:val="20"/>
              </w:rPr>
              <w:t>This session examines contrasting urban aspirations in the United States and Sub-Saharan Africa, where walkability, density, and transit are celebrated as sustainability goals in U.S. cities but often perceived as indicators of poverty in many African contexts. The session reframes these planning principles as cultural aspirations that shape how people imagine a “good life,” rather than as purely technical solutions.</w:t>
            </w:r>
          </w:p>
          <w:p w14:paraId="24257FA9" w14:textId="4557EFB1" w:rsidR="000F284E" w:rsidRPr="000F284E" w:rsidRDefault="000F284E" w:rsidP="000F284E">
            <w:pPr>
              <w:ind w:left="166"/>
            </w:pPr>
          </w:p>
        </w:tc>
        <w:tc>
          <w:tcPr>
            <w:tcW w:w="1890" w:type="dxa"/>
          </w:tcPr>
          <w:p w14:paraId="5576EF6E" w14:textId="77777777" w:rsidR="003A1483" w:rsidRDefault="00031DB7">
            <w:r>
              <w:lastRenderedPageBreak/>
              <w:t>Joseph Strauss Room</w:t>
            </w:r>
          </w:p>
          <w:p w14:paraId="0B7978CD" w14:textId="77777777" w:rsidR="00031DB7" w:rsidRDefault="00031DB7"/>
          <w:p w14:paraId="5BDDFECE" w14:textId="77777777" w:rsidR="000F284E" w:rsidRDefault="000F284E"/>
          <w:p w14:paraId="7FB7DE2E" w14:textId="77777777" w:rsidR="000F284E" w:rsidRDefault="000F284E"/>
          <w:p w14:paraId="0BF296DD" w14:textId="77777777" w:rsidR="000F284E" w:rsidRDefault="000F284E"/>
          <w:p w14:paraId="2D3E4FAD" w14:textId="77777777" w:rsidR="000F284E" w:rsidRDefault="000F284E"/>
          <w:p w14:paraId="2DFA87FA" w14:textId="77777777" w:rsidR="000F284E" w:rsidRDefault="000F284E"/>
          <w:p w14:paraId="5038C251" w14:textId="4A83665B" w:rsidR="00031DB7" w:rsidRDefault="00444225">
            <w:r>
              <w:t>WKRP Room</w:t>
            </w:r>
          </w:p>
          <w:p w14:paraId="4E09D4C4" w14:textId="77777777" w:rsidR="00444225" w:rsidRDefault="00444225"/>
          <w:p w14:paraId="72920F98" w14:textId="77777777" w:rsidR="00444225" w:rsidRDefault="00444225"/>
          <w:p w14:paraId="5E0235DF" w14:textId="77777777" w:rsidR="00FE7860" w:rsidRDefault="00FE7860"/>
          <w:p w14:paraId="55836745" w14:textId="77777777" w:rsidR="00FE7860" w:rsidRDefault="00FE7860"/>
          <w:p w14:paraId="66E12332" w14:textId="77777777" w:rsidR="00FE7860" w:rsidRDefault="00FE7860"/>
          <w:p w14:paraId="16944C0E" w14:textId="77777777" w:rsidR="00FE7860" w:rsidRDefault="00FE7860"/>
          <w:p w14:paraId="1035E15F" w14:textId="77777777" w:rsidR="00FE7860" w:rsidRDefault="00FE7860"/>
          <w:p w14:paraId="5BBA63D7" w14:textId="77777777" w:rsidR="00FE7860" w:rsidRDefault="00FE7860"/>
          <w:p w14:paraId="4B2F8BA9" w14:textId="189512FD" w:rsidR="00444225" w:rsidRDefault="00444225">
            <w:r>
              <w:lastRenderedPageBreak/>
              <w:t>Corn Hole Room</w:t>
            </w:r>
          </w:p>
          <w:p w14:paraId="7B6CB642" w14:textId="77777777" w:rsidR="00444225" w:rsidRDefault="00444225"/>
          <w:p w14:paraId="495D99D7" w14:textId="77777777" w:rsidR="00444225" w:rsidRDefault="00444225"/>
          <w:p w14:paraId="09AA5F82" w14:textId="77777777" w:rsidR="00444225" w:rsidRDefault="00444225"/>
          <w:p w14:paraId="5375DC5E" w14:textId="77777777" w:rsidR="00FE7860" w:rsidRDefault="00FE7860"/>
          <w:p w14:paraId="22378CE9" w14:textId="77777777" w:rsidR="00FE7860" w:rsidRDefault="00FE7860"/>
          <w:p w14:paraId="66178BE4" w14:textId="77777777" w:rsidR="00FE7860" w:rsidRDefault="00FE7860"/>
          <w:p w14:paraId="3691B5EA" w14:textId="77777777" w:rsidR="00FE7860" w:rsidRDefault="00FE7860"/>
          <w:p w14:paraId="0A5A238C" w14:textId="77777777" w:rsidR="00FE7860" w:rsidRDefault="00FE7860"/>
          <w:p w14:paraId="411996A7" w14:textId="77777777" w:rsidR="00FE7860" w:rsidRDefault="00FE7860"/>
          <w:p w14:paraId="03C35E36" w14:textId="77777777" w:rsidR="00FE7860" w:rsidRDefault="00FE7860"/>
          <w:p w14:paraId="45673575" w14:textId="0DB56A80" w:rsidR="00444225" w:rsidRDefault="00444225">
            <w:r>
              <w:t>Leonard Baehr Room</w:t>
            </w:r>
          </w:p>
          <w:p w14:paraId="33605290" w14:textId="77777777" w:rsidR="00444225" w:rsidRDefault="00444225"/>
          <w:p w14:paraId="209B6893" w14:textId="77777777" w:rsidR="00444225" w:rsidRDefault="00444225"/>
          <w:p w14:paraId="5965C495" w14:textId="77777777" w:rsidR="00FE7860" w:rsidRDefault="00FE7860"/>
          <w:p w14:paraId="3DF1BC63" w14:textId="77777777" w:rsidR="00FE7860" w:rsidRDefault="00FE7860"/>
          <w:p w14:paraId="6EC71FC4" w14:textId="77777777" w:rsidR="00FE7860" w:rsidRDefault="00FE7860"/>
          <w:p w14:paraId="5C40764B" w14:textId="77777777" w:rsidR="00FE7860" w:rsidRDefault="00FE7860"/>
          <w:p w14:paraId="4D9F39C1" w14:textId="681A83D5" w:rsidR="00444225" w:rsidRDefault="00444225">
            <w:r>
              <w:t>Beast Amphitheatre</w:t>
            </w:r>
          </w:p>
        </w:tc>
      </w:tr>
      <w:tr w:rsidR="00444225" w14:paraId="678C2578" w14:textId="77777777" w:rsidTr="00B368FB">
        <w:tc>
          <w:tcPr>
            <w:tcW w:w="1615" w:type="dxa"/>
            <w:shd w:val="clear" w:color="auto" w:fill="F2F2F2" w:themeFill="background1" w:themeFillShade="F2"/>
          </w:tcPr>
          <w:p w14:paraId="292838E4" w14:textId="5E5D3526" w:rsidR="00444225" w:rsidRDefault="00444225">
            <w:r>
              <w:t>2:45 – 3:00</w:t>
            </w:r>
          </w:p>
        </w:tc>
        <w:tc>
          <w:tcPr>
            <w:tcW w:w="7290" w:type="dxa"/>
            <w:shd w:val="clear" w:color="auto" w:fill="F2F2F2" w:themeFill="background1" w:themeFillShade="F2"/>
          </w:tcPr>
          <w:p w14:paraId="071B49F0" w14:textId="69CD4F67" w:rsidR="00444225" w:rsidRPr="00444225" w:rsidRDefault="00444225">
            <w:r w:rsidRPr="00444225">
              <w:t>Break</w:t>
            </w:r>
          </w:p>
        </w:tc>
        <w:tc>
          <w:tcPr>
            <w:tcW w:w="1890" w:type="dxa"/>
            <w:shd w:val="clear" w:color="auto" w:fill="F2F2F2" w:themeFill="background1" w:themeFillShade="F2"/>
          </w:tcPr>
          <w:p w14:paraId="3CF03E20" w14:textId="77777777" w:rsidR="00444225" w:rsidRDefault="00444225"/>
        </w:tc>
      </w:tr>
      <w:tr w:rsidR="00444225" w14:paraId="3A26810F" w14:textId="77777777" w:rsidTr="006102BB">
        <w:tc>
          <w:tcPr>
            <w:tcW w:w="1615" w:type="dxa"/>
          </w:tcPr>
          <w:p w14:paraId="54B10043" w14:textId="712D44AF" w:rsidR="00444225" w:rsidRDefault="00444225">
            <w:r>
              <w:t>3:00 – 4:00</w:t>
            </w:r>
          </w:p>
        </w:tc>
        <w:tc>
          <w:tcPr>
            <w:tcW w:w="7290" w:type="dxa"/>
          </w:tcPr>
          <w:p w14:paraId="7CED6EAF" w14:textId="1841C097" w:rsidR="00444225" w:rsidRPr="00B368FB" w:rsidRDefault="00444225">
            <w:pPr>
              <w:rPr>
                <w:b/>
                <w:bCs/>
              </w:rPr>
            </w:pPr>
            <w:r w:rsidRPr="00B368FB">
              <w:rPr>
                <w:b/>
                <w:bCs/>
              </w:rPr>
              <w:t xml:space="preserve">Experience Mill Creek: Bolstering Trail-Oriented Development </w:t>
            </w:r>
            <w:r w:rsidRPr="00B368FB">
              <w:rPr>
                <w:b/>
                <w:bCs/>
              </w:rPr>
              <w:t>for</w:t>
            </w:r>
            <w:r w:rsidRPr="00B368FB">
              <w:rPr>
                <w:b/>
                <w:bCs/>
              </w:rPr>
              <w:t xml:space="preserve"> All</w:t>
            </w:r>
          </w:p>
          <w:p w14:paraId="0C482CBC" w14:textId="4032A2C4" w:rsidR="00444225" w:rsidRPr="00B368FB" w:rsidRDefault="00444225" w:rsidP="006F0763">
            <w:pPr>
              <w:ind w:left="166"/>
              <w:rPr>
                <w:i/>
                <w:iCs/>
              </w:rPr>
            </w:pPr>
            <w:r w:rsidRPr="00B368FB">
              <w:rPr>
                <w:i/>
                <w:iCs/>
              </w:rPr>
              <w:t>Daniella Beltran</w:t>
            </w:r>
            <w:r w:rsidR="00506271">
              <w:rPr>
                <w:i/>
                <w:iCs/>
              </w:rPr>
              <w:t>, AICP</w:t>
            </w:r>
            <w:r w:rsidRPr="00B368FB">
              <w:rPr>
                <w:i/>
                <w:iCs/>
              </w:rPr>
              <w:t>, Wade Johnston</w:t>
            </w:r>
            <w:r w:rsidR="00506271">
              <w:rPr>
                <w:i/>
                <w:iCs/>
              </w:rPr>
              <w:t>, AICP</w:t>
            </w:r>
            <w:r w:rsidRPr="00B368FB">
              <w:rPr>
                <w:i/>
                <w:iCs/>
              </w:rPr>
              <w:t xml:space="preserve">, </w:t>
            </w:r>
            <w:r w:rsidRPr="00B368FB">
              <w:rPr>
                <w:i/>
                <w:iCs/>
              </w:rPr>
              <w:t xml:space="preserve">and </w:t>
            </w:r>
            <w:r w:rsidRPr="00B368FB">
              <w:rPr>
                <w:i/>
                <w:iCs/>
              </w:rPr>
              <w:t>Katherine Keough-Jurs,</w:t>
            </w:r>
            <w:r w:rsidRPr="00B368FB">
              <w:rPr>
                <w:i/>
                <w:iCs/>
              </w:rPr>
              <w:t xml:space="preserve"> FAICP</w:t>
            </w:r>
          </w:p>
          <w:p w14:paraId="4C272262" w14:textId="622EE509" w:rsidR="00444225" w:rsidRPr="006F0763" w:rsidRDefault="006F0763" w:rsidP="006F0763">
            <w:pPr>
              <w:ind w:left="166"/>
              <w:rPr>
                <w:sz w:val="20"/>
                <w:szCs w:val="20"/>
              </w:rPr>
            </w:pPr>
            <w:r w:rsidRPr="006F0763">
              <w:rPr>
                <w:sz w:val="20"/>
                <w:szCs w:val="20"/>
              </w:rPr>
              <w:t>A Cincinnati coalition is guiding development around a new urban trail through historically disinvested neighborhoods. The Experience Mill Creek campaign focuses on inclusive growth, addressing challenges like planning fatigue, multi-committee collaboration, community ambassador involvement, and quick-</w:t>
            </w:r>
            <w:proofErr w:type="gramStart"/>
            <w:r w:rsidRPr="006F0763">
              <w:rPr>
                <w:sz w:val="20"/>
                <w:szCs w:val="20"/>
              </w:rPr>
              <w:t>build</w:t>
            </w:r>
            <w:proofErr w:type="gramEnd"/>
            <w:r w:rsidRPr="006F0763">
              <w:rPr>
                <w:sz w:val="20"/>
                <w:szCs w:val="20"/>
              </w:rPr>
              <w:t xml:space="preserve"> activations for long-term implementation.</w:t>
            </w:r>
          </w:p>
          <w:p w14:paraId="1F5DECF7" w14:textId="77777777" w:rsidR="006F0763" w:rsidRDefault="006F0763"/>
          <w:p w14:paraId="6244DFC6" w14:textId="77777777" w:rsidR="00FE7860" w:rsidRDefault="00FE7860">
            <w:pPr>
              <w:rPr>
                <w:b/>
                <w:bCs/>
              </w:rPr>
            </w:pPr>
          </w:p>
          <w:p w14:paraId="0E18002F" w14:textId="4FC20BA0" w:rsidR="00444225" w:rsidRDefault="00444225">
            <w:r w:rsidRPr="00B368FB">
              <w:rPr>
                <w:b/>
                <w:bCs/>
              </w:rPr>
              <w:lastRenderedPageBreak/>
              <w:t xml:space="preserve">Ohio Land Use Law </w:t>
            </w:r>
            <w:proofErr w:type="gramStart"/>
            <w:r w:rsidRPr="00B368FB">
              <w:rPr>
                <w:b/>
                <w:bCs/>
              </w:rPr>
              <w:t>Update</w:t>
            </w:r>
            <w:r w:rsidR="00436C68">
              <w:t xml:space="preserve">  [</w:t>
            </w:r>
            <w:proofErr w:type="gramEnd"/>
            <w:r w:rsidR="00436C68">
              <w:t>Law]</w:t>
            </w:r>
          </w:p>
          <w:p w14:paraId="5D94928A" w14:textId="4732DA28" w:rsidR="00444225" w:rsidRPr="00B368FB" w:rsidRDefault="00444225">
            <w:pPr>
              <w:rPr>
                <w:i/>
                <w:iCs/>
              </w:rPr>
            </w:pPr>
            <w:r>
              <w:t xml:space="preserve">  </w:t>
            </w:r>
            <w:r w:rsidR="000F284E">
              <w:t xml:space="preserve"> </w:t>
            </w:r>
            <w:r w:rsidRPr="00B368FB">
              <w:rPr>
                <w:i/>
                <w:iCs/>
              </w:rPr>
              <w:t>Sean Suder</w:t>
            </w:r>
            <w:r w:rsidRPr="00B368FB">
              <w:rPr>
                <w:i/>
                <w:iCs/>
              </w:rPr>
              <w:t xml:space="preserve"> and</w:t>
            </w:r>
            <w:r w:rsidRPr="00B368FB">
              <w:rPr>
                <w:i/>
                <w:iCs/>
              </w:rPr>
              <w:t xml:space="preserve"> Andy Meyer</w:t>
            </w:r>
            <w:r w:rsidRPr="00B368FB">
              <w:rPr>
                <w:i/>
                <w:iCs/>
              </w:rPr>
              <w:t>, AICP</w:t>
            </w:r>
          </w:p>
          <w:p w14:paraId="0A05962C" w14:textId="0734F1DC" w:rsidR="00436C68" w:rsidRPr="000F284E" w:rsidRDefault="000F284E" w:rsidP="000F284E">
            <w:pPr>
              <w:ind w:left="166"/>
              <w:rPr>
                <w:sz w:val="20"/>
                <w:szCs w:val="20"/>
              </w:rPr>
            </w:pPr>
            <w:r w:rsidRPr="000F284E">
              <w:rPr>
                <w:sz w:val="20"/>
                <w:szCs w:val="20"/>
              </w:rPr>
              <w:t xml:space="preserve">An update of Ohio cases </w:t>
            </w:r>
            <w:r w:rsidRPr="000F284E">
              <w:rPr>
                <w:sz w:val="20"/>
                <w:szCs w:val="20"/>
              </w:rPr>
              <w:t>regarding</w:t>
            </w:r>
            <w:r w:rsidRPr="000F284E">
              <w:rPr>
                <w:sz w:val="20"/>
                <w:szCs w:val="20"/>
              </w:rPr>
              <w:t xml:space="preserve"> land use and zoning</w:t>
            </w:r>
            <w:r w:rsidRPr="000F284E">
              <w:rPr>
                <w:sz w:val="20"/>
                <w:szCs w:val="20"/>
              </w:rPr>
              <w:t xml:space="preserve"> with a focus on southwest Ohio</w:t>
            </w:r>
            <w:r w:rsidRPr="000F284E">
              <w:rPr>
                <w:sz w:val="20"/>
                <w:szCs w:val="20"/>
              </w:rPr>
              <w:t>.</w:t>
            </w:r>
          </w:p>
          <w:p w14:paraId="5017ACC7" w14:textId="77777777" w:rsidR="000F284E" w:rsidRDefault="000F284E"/>
          <w:p w14:paraId="5AB34219" w14:textId="77777777" w:rsidR="00436C68" w:rsidRPr="00B368FB" w:rsidRDefault="00436C68">
            <w:pPr>
              <w:rPr>
                <w:b/>
                <w:bCs/>
              </w:rPr>
            </w:pPr>
            <w:r w:rsidRPr="00B368FB">
              <w:rPr>
                <w:b/>
                <w:bCs/>
              </w:rPr>
              <w:t>Real Life Infill Housing Examples - Tales from an Accidental Developer</w:t>
            </w:r>
          </w:p>
          <w:p w14:paraId="69BCCD93" w14:textId="5BBE7636" w:rsidR="00436C68" w:rsidRPr="00B368FB" w:rsidRDefault="00436C68">
            <w:pPr>
              <w:rPr>
                <w:i/>
                <w:iCs/>
              </w:rPr>
            </w:pPr>
            <w:r>
              <w:t xml:space="preserve">  </w:t>
            </w:r>
            <w:r w:rsidR="000F284E">
              <w:t xml:space="preserve"> </w:t>
            </w:r>
            <w:r w:rsidRPr="00B368FB">
              <w:rPr>
                <w:i/>
                <w:iCs/>
              </w:rPr>
              <w:t>Chris Chiodini</w:t>
            </w:r>
            <w:r w:rsidR="00506271">
              <w:rPr>
                <w:i/>
                <w:iCs/>
              </w:rPr>
              <w:t>, AICP</w:t>
            </w:r>
          </w:p>
          <w:p w14:paraId="01DA35E3" w14:textId="0B4F86AE" w:rsidR="00B368FB" w:rsidRPr="000F284E" w:rsidRDefault="000F284E" w:rsidP="000F284E">
            <w:pPr>
              <w:ind w:left="166"/>
              <w:rPr>
                <w:sz w:val="20"/>
                <w:szCs w:val="20"/>
              </w:rPr>
            </w:pPr>
            <w:r w:rsidRPr="000F284E">
              <w:rPr>
                <w:sz w:val="20"/>
                <w:szCs w:val="20"/>
              </w:rPr>
              <w:t>This presentation will provide easy-to-follow methods to quickly identify areas for infill residential activation in your community, regardless of population size, politics or current housing situation. The ideas, thoughts, concepts and projects shared are through the direct experience of an "accidental developer" who also happens to be an AICP.</w:t>
            </w:r>
          </w:p>
          <w:p w14:paraId="52AC80AA" w14:textId="77777777" w:rsidR="000F284E" w:rsidRDefault="000F284E"/>
          <w:p w14:paraId="4CA2EFE1" w14:textId="77777777" w:rsidR="00B368FB" w:rsidRPr="00B368FB" w:rsidRDefault="00B368FB">
            <w:pPr>
              <w:rPr>
                <w:b/>
                <w:bCs/>
              </w:rPr>
            </w:pPr>
            <w:proofErr w:type="gramStart"/>
            <w:r w:rsidRPr="00B368FB">
              <w:rPr>
                <w:b/>
                <w:bCs/>
              </w:rPr>
              <w:t>So</w:t>
            </w:r>
            <w:proofErr w:type="gramEnd"/>
            <w:r w:rsidRPr="00B368FB">
              <w:rPr>
                <w:b/>
                <w:bCs/>
              </w:rPr>
              <w:t xml:space="preserve"> you want to be a transit planner? Metro shares what it takes</w:t>
            </w:r>
          </w:p>
          <w:p w14:paraId="55C36113" w14:textId="4A6AE091" w:rsidR="00B368FB" w:rsidRDefault="00B368FB">
            <w:pPr>
              <w:rPr>
                <w:i/>
                <w:iCs/>
              </w:rPr>
            </w:pPr>
            <w:r>
              <w:t xml:space="preserve">  </w:t>
            </w:r>
            <w:r w:rsidR="00FE7860">
              <w:t xml:space="preserve"> </w:t>
            </w:r>
            <w:r w:rsidRPr="00B368FB">
              <w:rPr>
                <w:i/>
                <w:iCs/>
              </w:rPr>
              <w:t>Steve Anderson</w:t>
            </w:r>
            <w:r w:rsidR="00506271">
              <w:rPr>
                <w:i/>
                <w:iCs/>
              </w:rPr>
              <w:t>, AICP</w:t>
            </w:r>
            <w:r w:rsidRPr="00B368FB">
              <w:rPr>
                <w:i/>
                <w:iCs/>
              </w:rPr>
              <w:t xml:space="preserve"> and Mark Samaan</w:t>
            </w:r>
          </w:p>
          <w:p w14:paraId="37A66532" w14:textId="6A9BFA33" w:rsidR="00B368FB" w:rsidRPr="00FE7860" w:rsidRDefault="00FE7860" w:rsidP="00FE7860">
            <w:pPr>
              <w:ind w:left="166"/>
              <w:rPr>
                <w:sz w:val="20"/>
                <w:szCs w:val="20"/>
              </w:rPr>
            </w:pPr>
            <w:r w:rsidRPr="00FE7860">
              <w:rPr>
                <w:sz w:val="20"/>
                <w:szCs w:val="20"/>
              </w:rPr>
              <w:t>Have you ever wondered how transit routes are planned and designed? What is the difference between span, frequency and headways? When will Bus Rapid Transit come to Cincinnati? Do you want to know how transit can be better integrated into your community? If you've ever asked these questions, this session is for you.</w:t>
            </w:r>
          </w:p>
          <w:p w14:paraId="2563F078" w14:textId="045E7B34" w:rsidR="00B368FB" w:rsidRPr="00B368FB" w:rsidRDefault="00B368FB"/>
        </w:tc>
        <w:tc>
          <w:tcPr>
            <w:tcW w:w="1890" w:type="dxa"/>
          </w:tcPr>
          <w:p w14:paraId="07223355" w14:textId="77777777" w:rsidR="00444225" w:rsidRDefault="00444225">
            <w:r>
              <w:lastRenderedPageBreak/>
              <w:t>WKRP Room</w:t>
            </w:r>
          </w:p>
          <w:p w14:paraId="22285C55" w14:textId="77777777" w:rsidR="00444225" w:rsidRDefault="00444225"/>
          <w:p w14:paraId="009C26CC" w14:textId="77777777" w:rsidR="00444225" w:rsidRDefault="00444225"/>
          <w:p w14:paraId="60254A6E" w14:textId="77777777" w:rsidR="00506271" w:rsidRDefault="00506271"/>
          <w:p w14:paraId="15F23ECC" w14:textId="77777777" w:rsidR="00FE7860" w:rsidRDefault="00FE7860"/>
          <w:p w14:paraId="3B9EE4D4" w14:textId="77777777" w:rsidR="00FE7860" w:rsidRDefault="00FE7860"/>
          <w:p w14:paraId="5256BF77" w14:textId="77777777" w:rsidR="00FE7860" w:rsidRDefault="00FE7860"/>
          <w:p w14:paraId="3614654A" w14:textId="77777777" w:rsidR="00FE7860" w:rsidRDefault="00FE7860"/>
          <w:p w14:paraId="2FF0471D" w14:textId="77777777" w:rsidR="00FE7860" w:rsidRDefault="00FE7860"/>
          <w:p w14:paraId="7B35C772" w14:textId="77777777" w:rsidR="00FE7860" w:rsidRDefault="00FE7860"/>
          <w:p w14:paraId="6EC891A1" w14:textId="2FE4E519" w:rsidR="00444225" w:rsidRDefault="00444225">
            <w:r>
              <w:lastRenderedPageBreak/>
              <w:t>Corn Hole Room</w:t>
            </w:r>
          </w:p>
          <w:p w14:paraId="37A5D427" w14:textId="77777777" w:rsidR="00B368FB" w:rsidRDefault="00B368FB"/>
          <w:p w14:paraId="00886D16" w14:textId="77777777" w:rsidR="00B368FB" w:rsidRDefault="00B368FB"/>
          <w:p w14:paraId="5D9F43F1" w14:textId="77777777" w:rsidR="00FE7860" w:rsidRDefault="00FE7860"/>
          <w:p w14:paraId="55C9F036" w14:textId="77777777" w:rsidR="00FE7860" w:rsidRDefault="00FE7860"/>
          <w:p w14:paraId="3324718D" w14:textId="41FE59DB" w:rsidR="00B368FB" w:rsidRDefault="00B368FB">
            <w:r>
              <w:t>Leonard Baehr Room</w:t>
            </w:r>
          </w:p>
          <w:p w14:paraId="5E460FE8" w14:textId="77777777" w:rsidR="00B368FB" w:rsidRDefault="00B368FB"/>
          <w:p w14:paraId="126AD294" w14:textId="77777777" w:rsidR="00FE7860" w:rsidRDefault="00FE7860"/>
          <w:p w14:paraId="2871F445" w14:textId="77777777" w:rsidR="00FE7860" w:rsidRDefault="00FE7860"/>
          <w:p w14:paraId="505BD0D8" w14:textId="77777777" w:rsidR="00FE7860" w:rsidRDefault="00FE7860"/>
          <w:p w14:paraId="417F303E" w14:textId="77777777" w:rsidR="00FE7860" w:rsidRDefault="00FE7860"/>
          <w:p w14:paraId="5E1E0D37" w14:textId="77777777" w:rsidR="00FE7860" w:rsidRDefault="00FE7860"/>
          <w:p w14:paraId="060CF52D" w14:textId="476A8FDE" w:rsidR="00B368FB" w:rsidRDefault="00B368FB">
            <w:r>
              <w:t>Beast Amphitheatre</w:t>
            </w:r>
          </w:p>
        </w:tc>
      </w:tr>
      <w:tr w:rsidR="00B368FB" w14:paraId="63626C77" w14:textId="77777777" w:rsidTr="005636C5">
        <w:trPr>
          <w:trHeight w:val="395"/>
        </w:trPr>
        <w:tc>
          <w:tcPr>
            <w:tcW w:w="1615" w:type="dxa"/>
            <w:shd w:val="clear" w:color="auto" w:fill="F2F2F2" w:themeFill="background1" w:themeFillShade="F2"/>
          </w:tcPr>
          <w:p w14:paraId="71FCBAA5" w14:textId="6C105B6F" w:rsidR="00B368FB" w:rsidRDefault="00B368FB">
            <w:r>
              <w:t xml:space="preserve">4:00 – 5:30 </w:t>
            </w:r>
          </w:p>
        </w:tc>
        <w:tc>
          <w:tcPr>
            <w:tcW w:w="7290" w:type="dxa"/>
            <w:shd w:val="clear" w:color="auto" w:fill="F2F2F2" w:themeFill="background1" w:themeFillShade="F2"/>
          </w:tcPr>
          <w:p w14:paraId="079151C4" w14:textId="3F3B2435" w:rsidR="00B368FB" w:rsidRPr="00444225" w:rsidRDefault="00B368FB">
            <w:r>
              <w:t>Happy Hour</w:t>
            </w:r>
          </w:p>
        </w:tc>
        <w:tc>
          <w:tcPr>
            <w:tcW w:w="1890" w:type="dxa"/>
            <w:shd w:val="clear" w:color="auto" w:fill="F2F2F2" w:themeFill="background1" w:themeFillShade="F2"/>
          </w:tcPr>
          <w:p w14:paraId="6CFA8F90" w14:textId="1367E9E8" w:rsidR="00B368FB" w:rsidRDefault="00B368FB">
            <w:proofErr w:type="spellStart"/>
            <w:r w:rsidRPr="005636C5">
              <w:rPr>
                <w:sz w:val="22"/>
                <w:szCs w:val="22"/>
              </w:rPr>
              <w:t>Prefunction</w:t>
            </w:r>
            <w:proofErr w:type="spellEnd"/>
            <w:r w:rsidRPr="005636C5">
              <w:rPr>
                <w:sz w:val="22"/>
                <w:szCs w:val="22"/>
              </w:rPr>
              <w:t xml:space="preserve"> space</w:t>
            </w:r>
          </w:p>
        </w:tc>
      </w:tr>
    </w:tbl>
    <w:p w14:paraId="7456E971" w14:textId="77777777" w:rsidR="009A090D" w:rsidRDefault="009A090D"/>
    <w:sectPr w:rsidR="009A090D" w:rsidSect="00E913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886"/>
    <w:multiLevelType w:val="multilevel"/>
    <w:tmpl w:val="44B6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56146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FF"/>
    <w:rsid w:val="00031DB7"/>
    <w:rsid w:val="000B273F"/>
    <w:rsid w:val="000F284E"/>
    <w:rsid w:val="003A1483"/>
    <w:rsid w:val="003B6542"/>
    <w:rsid w:val="00436C68"/>
    <w:rsid w:val="00444225"/>
    <w:rsid w:val="00506271"/>
    <w:rsid w:val="005636C5"/>
    <w:rsid w:val="006102BB"/>
    <w:rsid w:val="0067361C"/>
    <w:rsid w:val="006D0338"/>
    <w:rsid w:val="006F0763"/>
    <w:rsid w:val="007354CA"/>
    <w:rsid w:val="007428FF"/>
    <w:rsid w:val="00763B84"/>
    <w:rsid w:val="008122D8"/>
    <w:rsid w:val="00994D94"/>
    <w:rsid w:val="009A090D"/>
    <w:rsid w:val="009E346E"/>
    <w:rsid w:val="00AD1AD1"/>
    <w:rsid w:val="00B368FB"/>
    <w:rsid w:val="00B71DD3"/>
    <w:rsid w:val="00B7765A"/>
    <w:rsid w:val="00BA5BFC"/>
    <w:rsid w:val="00C23BF5"/>
    <w:rsid w:val="00C507E2"/>
    <w:rsid w:val="00E9131E"/>
    <w:rsid w:val="00F1064C"/>
    <w:rsid w:val="00F63905"/>
    <w:rsid w:val="00F80940"/>
    <w:rsid w:val="00FE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72F0"/>
  <w15:chartTrackingRefBased/>
  <w15:docId w15:val="{7AD4CDE2-E722-4D14-B677-04FCEC8C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1C"/>
  </w:style>
  <w:style w:type="paragraph" w:styleId="Heading1">
    <w:name w:val="heading 1"/>
    <w:basedOn w:val="Normal"/>
    <w:next w:val="Normal"/>
    <w:link w:val="Heading1Char"/>
    <w:uiPriority w:val="9"/>
    <w:qFormat/>
    <w:rsid w:val="00673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61C"/>
    <w:rPr>
      <w:rFonts w:eastAsiaTheme="majorEastAsia" w:cstheme="majorBidi"/>
      <w:color w:val="272727" w:themeColor="text1" w:themeTint="D8"/>
    </w:rPr>
  </w:style>
  <w:style w:type="paragraph" w:styleId="Title">
    <w:name w:val="Title"/>
    <w:basedOn w:val="Normal"/>
    <w:next w:val="Normal"/>
    <w:link w:val="TitleChar"/>
    <w:uiPriority w:val="10"/>
    <w:qFormat/>
    <w:rsid w:val="0067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61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7361C"/>
    <w:pPr>
      <w:ind w:left="720"/>
      <w:contextualSpacing/>
    </w:pPr>
  </w:style>
  <w:style w:type="paragraph" w:styleId="Quote">
    <w:name w:val="Quote"/>
    <w:basedOn w:val="Normal"/>
    <w:next w:val="Normal"/>
    <w:link w:val="QuoteChar"/>
    <w:uiPriority w:val="29"/>
    <w:qFormat/>
    <w:rsid w:val="0067361C"/>
    <w:pPr>
      <w:spacing w:before="160"/>
      <w:jc w:val="center"/>
    </w:pPr>
    <w:rPr>
      <w:i/>
      <w:iCs/>
      <w:color w:val="404040" w:themeColor="text1" w:themeTint="BF"/>
    </w:rPr>
  </w:style>
  <w:style w:type="character" w:customStyle="1" w:styleId="QuoteChar">
    <w:name w:val="Quote Char"/>
    <w:basedOn w:val="DefaultParagraphFont"/>
    <w:link w:val="Quote"/>
    <w:uiPriority w:val="29"/>
    <w:rsid w:val="0067361C"/>
    <w:rPr>
      <w:i/>
      <w:iCs/>
      <w:color w:val="404040" w:themeColor="text1" w:themeTint="BF"/>
    </w:rPr>
  </w:style>
  <w:style w:type="paragraph" w:styleId="IntenseQuote">
    <w:name w:val="Intense Quote"/>
    <w:basedOn w:val="Normal"/>
    <w:next w:val="Normal"/>
    <w:link w:val="IntenseQuoteChar"/>
    <w:uiPriority w:val="30"/>
    <w:qFormat/>
    <w:rsid w:val="0067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61C"/>
    <w:rPr>
      <w:i/>
      <w:iCs/>
      <w:color w:val="0F4761" w:themeColor="accent1" w:themeShade="BF"/>
    </w:rPr>
  </w:style>
  <w:style w:type="character" w:styleId="IntenseEmphasis">
    <w:name w:val="Intense Emphasis"/>
    <w:basedOn w:val="DefaultParagraphFont"/>
    <w:uiPriority w:val="21"/>
    <w:qFormat/>
    <w:rsid w:val="0067361C"/>
    <w:rPr>
      <w:i/>
      <w:iCs/>
      <w:color w:val="0F4761" w:themeColor="accent1" w:themeShade="BF"/>
    </w:rPr>
  </w:style>
  <w:style w:type="character" w:styleId="IntenseReference">
    <w:name w:val="Intense Reference"/>
    <w:basedOn w:val="DefaultParagraphFont"/>
    <w:uiPriority w:val="32"/>
    <w:qFormat/>
    <w:rsid w:val="0067361C"/>
    <w:rPr>
      <w:b/>
      <w:bCs/>
      <w:smallCaps/>
      <w:color w:val="0F4761" w:themeColor="accent1" w:themeShade="BF"/>
      <w:spacing w:val="5"/>
    </w:rPr>
  </w:style>
  <w:style w:type="table" w:styleId="TableGrid">
    <w:name w:val="Table Grid"/>
    <w:basedOn w:val="TableNormal"/>
    <w:uiPriority w:val="39"/>
    <w:rsid w:val="00742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2028</Words>
  <Characters>12012</Characters>
  <Application>Microsoft Office Word</Application>
  <DocSecurity>0</DocSecurity>
  <Lines>750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Meyer</dc:creator>
  <cp:keywords/>
  <dc:description/>
  <cp:lastModifiedBy>Andy Meyer</cp:lastModifiedBy>
  <cp:revision>4</cp:revision>
  <dcterms:created xsi:type="dcterms:W3CDTF">2026-03-04T18:53:00Z</dcterms:created>
  <dcterms:modified xsi:type="dcterms:W3CDTF">2026-03-04T19:55:00Z</dcterms:modified>
</cp:coreProperties>
</file>